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D551" w14:textId="77777777" w:rsidR="003E79C7" w:rsidRPr="003E79C7" w:rsidRDefault="003E79C7" w:rsidP="003E79C7">
      <w:pPr>
        <w:pStyle w:val="Default"/>
        <w:numPr>
          <w:ilvl w:val="0"/>
          <w:numId w:val="2"/>
        </w:numPr>
        <w:rPr>
          <w:rFonts w:ascii="Tahoma" w:hAnsi="Tahoma" w:cs="Tahoma"/>
          <w:sz w:val="22"/>
          <w:szCs w:val="22"/>
        </w:rPr>
      </w:pPr>
      <w:r>
        <w:rPr>
          <w:rFonts w:ascii="Tahoma" w:hAnsi="Tahoma"/>
          <w:b/>
          <w:sz w:val="22"/>
        </w:rPr>
        <w:t xml:space="preserve">Purpose of the form </w:t>
      </w:r>
      <w:r>
        <w:rPr>
          <w:rFonts w:ascii="Tahoma" w:hAnsi="Tahoma"/>
          <w:b/>
          <w:sz w:val="22"/>
        </w:rPr>
        <w:br/>
      </w:r>
      <w:r>
        <w:rPr>
          <w:rFonts w:ascii="Tahoma" w:hAnsi="Tahoma"/>
          <w:sz w:val="20"/>
        </w:rPr>
        <w:t>Article 19 of the Royal Decree of 27 April 2007 on managing the national numbering space and the grant and withdrawal of number user rights (Belgian Official Gazette of 28 June 2007) stipulates: “</w:t>
      </w:r>
      <w:r>
        <w:rPr>
          <w:rFonts w:ascii="Tahoma" w:hAnsi="Tahoma"/>
          <w:i/>
          <w:sz w:val="20"/>
        </w:rPr>
        <w:t xml:space="preserve">The number capacity will only be allocated if it is actually put to use for the specified purposes within the reservation period. The date of activation must </w:t>
      </w:r>
      <w:proofErr w:type="gramStart"/>
      <w:r>
        <w:rPr>
          <w:rFonts w:ascii="Tahoma" w:hAnsi="Tahoma"/>
          <w:i/>
          <w:sz w:val="20"/>
        </w:rPr>
        <w:t>be communicated</w:t>
      </w:r>
      <w:proofErr w:type="gramEnd"/>
      <w:r>
        <w:rPr>
          <w:rFonts w:ascii="Tahoma" w:hAnsi="Tahoma"/>
          <w:i/>
          <w:sz w:val="20"/>
        </w:rPr>
        <w:t xml:space="preserve"> in writing to the Institute at least three days in advance</w:t>
      </w:r>
      <w:r>
        <w:rPr>
          <w:rFonts w:ascii="Tahoma" w:hAnsi="Tahoma"/>
          <w:sz w:val="20"/>
        </w:rPr>
        <w:t xml:space="preserve">.” (free translation) </w:t>
      </w:r>
      <w:r>
        <w:rPr>
          <w:rFonts w:ascii="Tahoma" w:hAnsi="Tahoma"/>
          <w:sz w:val="20"/>
        </w:rPr>
        <w:br/>
        <w:t xml:space="preserve">In this context, the activation of the number capacity means that the numbers have already been put into use in such a way that it is possible to receive calls/messages, or that they are used to make calls or send messages, for example by transmitting the calling line identification (CLI) or that they are used to support the call/message routering (e.g. for the 'national signalling point' codes). </w:t>
      </w:r>
      <w:r>
        <w:rPr>
          <w:rFonts w:ascii="Tahoma" w:hAnsi="Tahoma"/>
          <w:sz w:val="20"/>
        </w:rPr>
        <w:br/>
        <w:t xml:space="preserve">The purpose of this form is to easily fulfil the legal notification obligation described above. </w:t>
      </w:r>
      <w:r>
        <w:rPr>
          <w:rFonts w:ascii="Tahoma" w:hAnsi="Tahoma"/>
          <w:sz w:val="20"/>
        </w:rPr>
        <w:br/>
      </w:r>
    </w:p>
    <w:p w14:paraId="082DD552" w14:textId="1E1535BB" w:rsidR="003E79C7" w:rsidRPr="00853F53" w:rsidRDefault="003E79C7" w:rsidP="00A607E4">
      <w:pPr>
        <w:pStyle w:val="Default"/>
        <w:numPr>
          <w:ilvl w:val="0"/>
          <w:numId w:val="2"/>
        </w:numPr>
        <w:rPr>
          <w:rFonts w:ascii="Tahoma" w:hAnsi="Tahoma" w:cs="Tahoma"/>
          <w:sz w:val="22"/>
          <w:szCs w:val="22"/>
        </w:rPr>
      </w:pPr>
      <w:r>
        <w:rPr>
          <w:rFonts w:ascii="Tahoma" w:hAnsi="Tahoma"/>
          <w:b/>
          <w:sz w:val="22"/>
        </w:rPr>
        <w:t xml:space="preserve">To </w:t>
      </w:r>
      <w:proofErr w:type="gramStart"/>
      <w:r>
        <w:rPr>
          <w:rFonts w:ascii="Tahoma" w:hAnsi="Tahoma"/>
          <w:b/>
          <w:sz w:val="22"/>
        </w:rPr>
        <w:t>be completed</w:t>
      </w:r>
      <w:proofErr w:type="gramEnd"/>
      <w:r>
        <w:rPr>
          <w:rFonts w:ascii="Tahoma" w:hAnsi="Tahoma"/>
          <w:b/>
          <w:sz w:val="22"/>
        </w:rPr>
        <w:t xml:space="preserve"> by the party requesting an allocation </w:t>
      </w:r>
      <w:r>
        <w:rPr>
          <w:rFonts w:ascii="Tahoma" w:hAnsi="Tahoma"/>
          <w:b/>
          <w:sz w:val="22"/>
        </w:rPr>
        <w:br/>
      </w:r>
      <w:r>
        <w:rPr>
          <w:rFonts w:ascii="Tahoma" w:hAnsi="Tahoma"/>
          <w:sz w:val="20"/>
        </w:rPr>
        <w:t xml:space="preserve">Name of the party requesting an allocation: </w:t>
      </w:r>
      <w:r>
        <w:rPr>
          <w:rFonts w:ascii="Tahoma" w:hAnsi="Tahoma"/>
          <w:sz w:val="20"/>
        </w:rPr>
        <w:br/>
        <w:t xml:space="preserve">Type of number capacity (e.g.: geographical numbers): </w:t>
      </w:r>
      <w:r>
        <w:rPr>
          <w:rFonts w:ascii="Tahoma" w:hAnsi="Tahoma"/>
          <w:sz w:val="20"/>
        </w:rPr>
        <w:br/>
        <w:t xml:space="preserve">Mention of number capacity and date of implementation: </w:t>
      </w:r>
      <w:r>
        <w:rPr>
          <w:rFonts w:ascii="Tahoma" w:hAnsi="Tahoma"/>
          <w:sz w:val="20"/>
        </w:rPr>
        <w:br/>
        <w:t xml:space="preserve">Comments (if necessary): </w:t>
      </w:r>
      <w:r>
        <w:rPr>
          <w:rFonts w:ascii="Tahoma" w:hAnsi="Tahoma"/>
          <w:sz w:val="22"/>
        </w:rPr>
        <w:br/>
      </w:r>
    </w:p>
    <w:p w14:paraId="082DD553" w14:textId="77777777" w:rsidR="00A607E4" w:rsidRPr="00853F53" w:rsidRDefault="003E79C7" w:rsidP="00A607E4">
      <w:pPr>
        <w:pStyle w:val="Default"/>
        <w:numPr>
          <w:ilvl w:val="0"/>
          <w:numId w:val="2"/>
        </w:numPr>
        <w:rPr>
          <w:rFonts w:ascii="Tahoma" w:hAnsi="Tahoma" w:cs="Tahoma"/>
          <w:sz w:val="22"/>
          <w:szCs w:val="22"/>
        </w:rPr>
      </w:pPr>
      <w:r>
        <w:rPr>
          <w:rFonts w:ascii="Tahoma" w:hAnsi="Tahoma"/>
          <w:b/>
          <w:sz w:val="22"/>
        </w:rPr>
        <w:t xml:space="preserve">Procedure </w:t>
      </w:r>
      <w:r>
        <w:rPr>
          <w:rFonts w:ascii="Tahoma" w:hAnsi="Tahoma"/>
          <w:b/>
          <w:sz w:val="22"/>
        </w:rPr>
        <w:br/>
      </w:r>
      <w:r>
        <w:rPr>
          <w:rFonts w:ascii="Tahoma" w:hAnsi="Tahoma"/>
          <w:sz w:val="20"/>
        </w:rPr>
        <w:t xml:space="preserve">The undersigned commits themselves to immediately inform the BIPT of any change causing the notification to no longer correspond with reality, as well as of any discontinuation of activities. They hereby state having duly, </w:t>
      </w:r>
      <w:proofErr w:type="gramStart"/>
      <w:r>
        <w:rPr>
          <w:rFonts w:ascii="Tahoma" w:hAnsi="Tahoma"/>
          <w:sz w:val="20"/>
        </w:rPr>
        <w:t>completely</w:t>
      </w:r>
      <w:proofErr w:type="gramEnd"/>
      <w:r>
        <w:rPr>
          <w:rFonts w:ascii="Tahoma" w:hAnsi="Tahoma"/>
          <w:sz w:val="20"/>
        </w:rPr>
        <w:t xml:space="preserve"> and truthfully provided all data on the previous page(s). </w:t>
      </w:r>
      <w:r>
        <w:rPr>
          <w:rFonts w:ascii="Tahoma" w:hAnsi="Tahoma"/>
          <w:sz w:val="20"/>
        </w:rPr>
        <w:br/>
      </w:r>
      <w:r>
        <w:rPr>
          <w:rFonts w:ascii="Tahoma" w:hAnsi="Tahoma"/>
          <w:sz w:val="20"/>
        </w:rPr>
        <w:br/>
        <w:t xml:space="preserve">Place and date </w:t>
      </w:r>
      <w:r>
        <w:rPr>
          <w:rFonts w:ascii="Tahoma" w:hAnsi="Tahoma"/>
          <w:sz w:val="20"/>
        </w:rPr>
        <w:br/>
      </w:r>
      <w:r>
        <w:rPr>
          <w:rFonts w:ascii="Tahoma" w:hAnsi="Tahoma"/>
          <w:sz w:val="20"/>
        </w:rPr>
        <w:br/>
      </w:r>
      <w:r>
        <w:rPr>
          <w:rFonts w:ascii="Tahoma" w:hAnsi="Tahoma"/>
          <w:sz w:val="20"/>
        </w:rPr>
        <w:br/>
        <w:t xml:space="preserve">Name </w:t>
      </w:r>
      <w:r>
        <w:rPr>
          <w:rFonts w:ascii="Tahoma" w:hAnsi="Tahoma"/>
          <w:sz w:val="20"/>
        </w:rPr>
        <w:br/>
      </w:r>
      <w:r>
        <w:rPr>
          <w:rFonts w:ascii="Tahoma" w:hAnsi="Tahoma"/>
          <w:sz w:val="20"/>
        </w:rPr>
        <w:br/>
      </w:r>
      <w:r>
        <w:rPr>
          <w:rFonts w:ascii="Tahoma" w:hAnsi="Tahoma"/>
          <w:sz w:val="20"/>
        </w:rPr>
        <w:br/>
        <w:t xml:space="preserve">Signature </w:t>
      </w:r>
      <w:r>
        <w:rPr>
          <w:rFonts w:ascii="Tahoma" w:hAnsi="Tahoma"/>
          <w:sz w:val="20"/>
        </w:rPr>
        <w:br/>
      </w:r>
      <w:r>
        <w:rPr>
          <w:rFonts w:ascii="Tahoma" w:hAnsi="Tahoma"/>
          <w:sz w:val="20"/>
        </w:rPr>
        <w:br/>
      </w:r>
    </w:p>
    <w:p w14:paraId="082DD554" w14:textId="77777777" w:rsidR="00A607E4" w:rsidRDefault="00A607E4" w:rsidP="00A607E4">
      <w:pPr>
        <w:pStyle w:val="Default"/>
        <w:rPr>
          <w:rFonts w:ascii="Tahoma" w:hAnsi="Tahoma" w:cs="Tahoma"/>
          <w:sz w:val="22"/>
          <w:szCs w:val="22"/>
        </w:rPr>
      </w:pPr>
    </w:p>
    <w:p w14:paraId="7A134EEB" w14:textId="77777777" w:rsidR="00E44D65" w:rsidRPr="003E79C7" w:rsidRDefault="00E44D65" w:rsidP="00A607E4">
      <w:pPr>
        <w:pStyle w:val="Default"/>
        <w:rPr>
          <w:rFonts w:ascii="Tahoma" w:hAnsi="Tahoma" w:cs="Tahoma"/>
          <w:sz w:val="22"/>
          <w:szCs w:val="22"/>
        </w:rPr>
      </w:pPr>
    </w:p>
    <w:p w14:paraId="082DD555" w14:textId="77777777" w:rsidR="003E79C7" w:rsidRPr="00853F53" w:rsidRDefault="003E79C7" w:rsidP="003E79C7">
      <w:pPr>
        <w:pStyle w:val="Default"/>
        <w:rPr>
          <w:rFonts w:ascii="Tahoma" w:hAnsi="Tahoma" w:cs="Tahoma"/>
          <w:sz w:val="20"/>
          <w:szCs w:val="20"/>
        </w:rPr>
      </w:pPr>
      <w:r>
        <w:rPr>
          <w:rFonts w:ascii="Tahoma" w:hAnsi="Tahoma"/>
          <w:sz w:val="20"/>
        </w:rPr>
        <w:t xml:space="preserve">This form can </w:t>
      </w:r>
      <w:proofErr w:type="gramStart"/>
      <w:r>
        <w:rPr>
          <w:rFonts w:ascii="Tahoma" w:hAnsi="Tahoma"/>
          <w:sz w:val="20"/>
        </w:rPr>
        <w:t>be sent</w:t>
      </w:r>
      <w:proofErr w:type="gramEnd"/>
      <w:r>
        <w:rPr>
          <w:rFonts w:ascii="Tahoma" w:hAnsi="Tahoma"/>
          <w:sz w:val="20"/>
        </w:rPr>
        <w:t xml:space="preserve"> via </w:t>
      </w:r>
    </w:p>
    <w:p w14:paraId="082DD557" w14:textId="1A8790FE" w:rsidR="003E79C7" w:rsidRPr="00853F53" w:rsidRDefault="003E79C7" w:rsidP="003E79C7">
      <w:pPr>
        <w:pStyle w:val="Default"/>
        <w:rPr>
          <w:rFonts w:ascii="Tahoma" w:hAnsi="Tahoma" w:cs="Tahoma"/>
          <w:sz w:val="20"/>
          <w:szCs w:val="20"/>
        </w:rPr>
      </w:pPr>
      <w:r>
        <w:rPr>
          <w:rFonts w:ascii="Tahoma" w:hAnsi="Tahoma"/>
          <w:sz w:val="20"/>
        </w:rPr>
        <w:t xml:space="preserve">- email in PDF-format to: numbering@bipt.be </w:t>
      </w:r>
    </w:p>
    <w:p w14:paraId="082DD558" w14:textId="77777777" w:rsidR="00A607E4" w:rsidRPr="00853F53" w:rsidRDefault="003E79C7" w:rsidP="003E79C7">
      <w:pPr>
        <w:pStyle w:val="Default"/>
        <w:rPr>
          <w:rFonts w:ascii="Tahoma" w:hAnsi="Tahoma" w:cs="Tahoma"/>
          <w:sz w:val="20"/>
          <w:szCs w:val="20"/>
        </w:rPr>
      </w:pPr>
      <w:r>
        <w:rPr>
          <w:rFonts w:ascii="Tahoma" w:hAnsi="Tahoma"/>
          <w:sz w:val="20"/>
        </w:rPr>
        <w:t xml:space="preserve">- or a letter to attn.: </w:t>
      </w:r>
    </w:p>
    <w:p w14:paraId="082DD559" w14:textId="7902229B" w:rsidR="00A907E6" w:rsidRPr="00853F53" w:rsidRDefault="00A607E4" w:rsidP="003E79C7">
      <w:pPr>
        <w:rPr>
          <w:rFonts w:cs="Tahoma"/>
          <w:szCs w:val="20"/>
        </w:rPr>
      </w:pPr>
      <w:r>
        <w:tab/>
        <w:t>BIPT - Numbering Department</w:t>
      </w:r>
      <w:r>
        <w:br/>
      </w:r>
      <w:r>
        <w:tab/>
        <w:t xml:space="preserve">Boulevard Roi Albert II 32, PO box </w:t>
      </w:r>
      <w:proofErr w:type="gramStart"/>
      <w:r>
        <w:t>10</w:t>
      </w:r>
      <w:proofErr w:type="gramEnd"/>
      <w:r>
        <w:t xml:space="preserve"> </w:t>
      </w:r>
      <w:r>
        <w:br/>
      </w:r>
      <w:r>
        <w:tab/>
      </w:r>
      <w:proofErr w:type="gramStart"/>
      <w:r>
        <w:t>1000</w:t>
      </w:r>
      <w:proofErr w:type="gramEnd"/>
      <w:r>
        <w:t xml:space="preserve"> Brussels</w:t>
      </w:r>
    </w:p>
    <w:sectPr w:rsidR="00A907E6" w:rsidRPr="00853F53" w:rsidSect="00305BCE">
      <w:headerReference w:type="default" r:id="rId11"/>
      <w:foot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FDDE" w14:textId="77777777" w:rsidR="00BD7CFC" w:rsidRDefault="00BD7CFC" w:rsidP="00A607E4">
      <w:pPr>
        <w:spacing w:after="0" w:line="240" w:lineRule="auto"/>
      </w:pPr>
      <w:r>
        <w:separator/>
      </w:r>
    </w:p>
  </w:endnote>
  <w:endnote w:type="continuationSeparator" w:id="0">
    <w:p w14:paraId="1E200378" w14:textId="77777777" w:rsidR="00BD7CFC" w:rsidRDefault="00BD7CFC" w:rsidP="00A6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561" w14:textId="77777777" w:rsidR="0008737A" w:rsidRPr="00934DBA" w:rsidRDefault="0008737A" w:rsidP="0008737A">
    <w:pPr>
      <w:pStyle w:val="Voettekst"/>
      <w:rPr>
        <w:b/>
        <w:color w:val="292A81"/>
        <w:sz w:val="16"/>
      </w:rPr>
    </w:pPr>
    <w:r>
      <w:rPr>
        <w:b/>
        <w:color w:val="292A81"/>
        <w:sz w:val="16"/>
      </w:rPr>
      <w:t>Belgian Institute for Postal Services and Telecommunications</w:t>
    </w:r>
  </w:p>
  <w:p w14:paraId="082DD562" w14:textId="2C99444E" w:rsidR="0008737A" w:rsidRPr="00934DBA" w:rsidRDefault="0008737A" w:rsidP="0008737A">
    <w:pPr>
      <w:pStyle w:val="Voettekst"/>
      <w:rPr>
        <w:color w:val="292A81"/>
        <w:sz w:val="16"/>
      </w:rPr>
    </w:pPr>
    <w:r>
      <w:rPr>
        <w:color w:val="292A81"/>
        <w:sz w:val="16"/>
      </w:rPr>
      <w:t>Numbering Department | Boulevard Albert II 32, PO box 10 | 1000 Brussels</w:t>
    </w:r>
  </w:p>
  <w:p w14:paraId="082DD563" w14:textId="77777777" w:rsidR="00A607E4" w:rsidRPr="00C852BE" w:rsidRDefault="0008737A" w:rsidP="0008737A">
    <w:pPr>
      <w:pStyle w:val="Voettekst"/>
      <w:rPr>
        <w:lang w:val="de-DE"/>
      </w:rPr>
    </w:pPr>
    <w:r w:rsidRPr="00C852BE">
      <w:rPr>
        <w:b/>
        <w:color w:val="292A81"/>
        <w:sz w:val="16"/>
        <w:lang w:val="de-DE"/>
      </w:rPr>
      <w:t>T</w:t>
    </w:r>
    <w:r w:rsidRPr="00C852BE">
      <w:rPr>
        <w:color w:val="292A81"/>
        <w:sz w:val="16"/>
        <w:lang w:val="de-DE"/>
      </w:rPr>
      <w:t xml:space="preserve"> +32 2 226 88 88 | </w:t>
    </w:r>
    <w:r w:rsidRPr="00C852BE">
      <w:rPr>
        <w:b/>
        <w:color w:val="292A81"/>
        <w:sz w:val="16"/>
        <w:lang w:val="de-DE"/>
      </w:rPr>
      <w:t>F</w:t>
    </w:r>
    <w:r w:rsidRPr="00C852BE">
      <w:rPr>
        <w:color w:val="292A81"/>
        <w:sz w:val="16"/>
        <w:lang w:val="de-DE"/>
      </w:rPr>
      <w:t xml:space="preserve"> +32 2 226 88 77 | </w:t>
    </w:r>
    <w:r w:rsidRPr="00C852BE">
      <w:rPr>
        <w:b/>
        <w:color w:val="292A81"/>
        <w:sz w:val="16"/>
        <w:lang w:val="de-DE"/>
      </w:rPr>
      <w:t>E</w:t>
    </w:r>
    <w:r w:rsidRPr="00C852BE">
      <w:rPr>
        <w:color w:val="292A81"/>
        <w:sz w:val="16"/>
        <w:lang w:val="de-DE"/>
      </w:rPr>
      <w:t xml:space="preserve"> numbering@bipt.be | </w:t>
    </w:r>
    <w:r w:rsidRPr="00C852BE">
      <w:rPr>
        <w:b/>
        <w:color w:val="292A81"/>
        <w:sz w:val="16"/>
        <w:lang w:val="de-DE"/>
      </w:rPr>
      <w:t>www.bipt.be</w:t>
    </w:r>
  </w:p>
  <w:p w14:paraId="082DD564" w14:textId="77777777" w:rsidR="00A607E4" w:rsidRPr="00C852BE" w:rsidRDefault="00A607E4">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DE71" w14:textId="77777777" w:rsidR="00BD7CFC" w:rsidRDefault="00BD7CFC" w:rsidP="00A607E4">
      <w:pPr>
        <w:spacing w:after="0" w:line="240" w:lineRule="auto"/>
      </w:pPr>
      <w:r>
        <w:separator/>
      </w:r>
    </w:p>
  </w:footnote>
  <w:footnote w:type="continuationSeparator" w:id="0">
    <w:p w14:paraId="04E6A08B" w14:textId="77777777" w:rsidR="00BD7CFC" w:rsidRDefault="00BD7CFC" w:rsidP="00A6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55F" w14:textId="42435E32" w:rsidR="00AE4262" w:rsidRPr="00305BCE" w:rsidRDefault="00305BCE" w:rsidP="00305BCE">
    <w:pPr>
      <w:pStyle w:val="Titel"/>
      <w:jc w:val="right"/>
      <w:rPr>
        <w:color w:val="292A81" w:themeColor="text2"/>
        <w:sz w:val="48"/>
        <w:szCs w:val="48"/>
      </w:rPr>
    </w:pPr>
    <w:r>
      <w:rPr>
        <w:noProof/>
        <w:color w:val="292A81" w:themeColor="text2"/>
        <w:sz w:val="48"/>
      </w:rPr>
      <w:drawing>
        <wp:anchor distT="0" distB="0" distL="114300" distR="114300" simplePos="0" relativeHeight="251659264" behindDoc="1" locked="0" layoutInCell="1" allowOverlap="1" wp14:anchorId="082DD567" wp14:editId="07C263C2">
          <wp:simplePos x="0" y="0"/>
          <wp:positionH relativeFrom="page">
            <wp:posOffset>19050</wp:posOffset>
          </wp:positionH>
          <wp:positionV relativeFrom="page">
            <wp:posOffset>19050</wp:posOffset>
          </wp:positionV>
          <wp:extent cx="1931035" cy="12954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35" cy="1295400"/>
                  </a:xfrm>
                  <a:prstGeom prst="rect">
                    <a:avLst/>
                  </a:prstGeom>
                </pic:spPr>
              </pic:pic>
            </a:graphicData>
          </a:graphic>
          <wp14:sizeRelH relativeFrom="page">
            <wp14:pctWidth>0</wp14:pctWidth>
          </wp14:sizeRelH>
          <wp14:sizeRelV relativeFrom="page">
            <wp14:pctHeight>0</wp14:pctHeight>
          </wp14:sizeRelV>
        </wp:anchor>
      </w:drawing>
    </w:r>
    <w:r>
      <w:rPr>
        <w:color w:val="292A81" w:themeColor="text2"/>
        <w:sz w:val="48"/>
      </w:rPr>
      <w:t>Activation of a number block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0D1"/>
    <w:multiLevelType w:val="hybridMultilevel"/>
    <w:tmpl w:val="96223360"/>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 w15:restartNumberingAfterBreak="0">
    <w:nsid w:val="1CAC1845"/>
    <w:multiLevelType w:val="hybridMultilevel"/>
    <w:tmpl w:val="9784397C"/>
    <w:lvl w:ilvl="0" w:tplc="DDBAE6A8">
      <w:start w:val="1"/>
      <w:numFmt w:val="decimal"/>
      <w:lvlText w:val="%1."/>
      <w:lvlJc w:val="left"/>
      <w:pPr>
        <w:ind w:left="435" w:hanging="360"/>
      </w:pPr>
      <w:rPr>
        <w:rFonts w:hint="default"/>
        <w:b/>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num w:numId="1" w16cid:durableId="89543410">
    <w:abstractNumId w:val="0"/>
  </w:num>
  <w:num w:numId="2" w16cid:durableId="128164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C7"/>
    <w:rsid w:val="0008737A"/>
    <w:rsid w:val="000E1726"/>
    <w:rsid w:val="001172CA"/>
    <w:rsid w:val="00165C75"/>
    <w:rsid w:val="00270C6B"/>
    <w:rsid w:val="0027376E"/>
    <w:rsid w:val="00305BCE"/>
    <w:rsid w:val="00376034"/>
    <w:rsid w:val="0039499B"/>
    <w:rsid w:val="003E79C7"/>
    <w:rsid w:val="00643196"/>
    <w:rsid w:val="00653D61"/>
    <w:rsid w:val="006778F4"/>
    <w:rsid w:val="007B2E95"/>
    <w:rsid w:val="00853F53"/>
    <w:rsid w:val="00A47E60"/>
    <w:rsid w:val="00A607E4"/>
    <w:rsid w:val="00A907E6"/>
    <w:rsid w:val="00AE4262"/>
    <w:rsid w:val="00B14725"/>
    <w:rsid w:val="00B72889"/>
    <w:rsid w:val="00BD7CFC"/>
    <w:rsid w:val="00C45B34"/>
    <w:rsid w:val="00C852BE"/>
    <w:rsid w:val="00CF23E9"/>
    <w:rsid w:val="00D6245E"/>
    <w:rsid w:val="00D750EC"/>
    <w:rsid w:val="00E44D65"/>
    <w:rsid w:val="00FB61FE"/>
    <w:rsid w:val="00FC3F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D551"/>
  <w15:chartTrackingRefBased/>
  <w15:docId w15:val="{4FCB5896-2A4E-4BFF-A24E-28DC9208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D61"/>
    <w:rPr>
      <w:rFonts w:ascii="Tahoma" w:hAnsi="Tahoma"/>
      <w:sz w:val="20"/>
    </w:rPr>
  </w:style>
  <w:style w:type="paragraph" w:styleId="Kop1">
    <w:name w:val="heading 1"/>
    <w:basedOn w:val="Standaard"/>
    <w:next w:val="Standaard"/>
    <w:link w:val="Kop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Kop2">
    <w:name w:val="heading 2"/>
    <w:basedOn w:val="Standaard"/>
    <w:next w:val="Standaard"/>
    <w:link w:val="Kop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7E6"/>
    <w:rPr>
      <w:rFonts w:ascii="Tahoma" w:eastAsiaTheme="majorEastAsia" w:hAnsi="Tahoma" w:cstheme="majorBidi"/>
      <w:color w:val="1B80B2" w:themeColor="accent1" w:themeShade="BF"/>
      <w:sz w:val="48"/>
      <w:szCs w:val="32"/>
    </w:rPr>
  </w:style>
  <w:style w:type="paragraph" w:styleId="Titel">
    <w:name w:val="Title"/>
    <w:basedOn w:val="Standaard"/>
    <w:next w:val="Standaard"/>
    <w:link w:val="Titel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elChar">
    <w:name w:val="Titel Char"/>
    <w:basedOn w:val="Standaardalinea-lettertype"/>
    <w:link w:val="Titel"/>
    <w:uiPriority w:val="10"/>
    <w:rsid w:val="00A907E6"/>
    <w:rPr>
      <w:rFonts w:ascii="Tahoma" w:eastAsiaTheme="majorEastAsia" w:hAnsi="Tahoma" w:cstheme="majorBidi"/>
      <w:spacing w:val="-10"/>
      <w:kern w:val="28"/>
      <w:sz w:val="76"/>
      <w:szCs w:val="56"/>
    </w:rPr>
  </w:style>
  <w:style w:type="character" w:customStyle="1" w:styleId="Kop2Char">
    <w:name w:val="Kop 2 Char"/>
    <w:basedOn w:val="Standaardalinea-lettertype"/>
    <w:link w:val="Kop2"/>
    <w:uiPriority w:val="9"/>
    <w:rsid w:val="00A907E6"/>
    <w:rPr>
      <w:rFonts w:ascii="Tahoma" w:eastAsiaTheme="majorEastAsia" w:hAnsi="Tahoma" w:cstheme="majorBidi"/>
      <w:color w:val="1B80B2" w:themeColor="accent1" w:themeShade="BF"/>
      <w:sz w:val="36"/>
      <w:szCs w:val="26"/>
    </w:rPr>
  </w:style>
  <w:style w:type="paragraph" w:customStyle="1" w:styleId="Default">
    <w:name w:val="Default"/>
    <w:rsid w:val="003E79C7"/>
    <w:pPr>
      <w:autoSpaceDE w:val="0"/>
      <w:autoSpaceDN w:val="0"/>
      <w:adjustRightInd w:val="0"/>
      <w:spacing w:after="0" w:line="240" w:lineRule="auto"/>
    </w:pPr>
    <w:rPr>
      <w:rFonts w:ascii="Cambria" w:hAnsi="Cambria" w:cs="Cambria"/>
      <w:color w:val="000000"/>
      <w:sz w:val="24"/>
      <w:szCs w:val="24"/>
    </w:rPr>
  </w:style>
  <w:style w:type="paragraph" w:styleId="Koptekst">
    <w:name w:val="header"/>
    <w:basedOn w:val="Standaard"/>
    <w:link w:val="KoptekstChar"/>
    <w:uiPriority w:val="99"/>
    <w:unhideWhenUsed/>
    <w:rsid w:val="00A607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7E4"/>
    <w:rPr>
      <w:rFonts w:ascii="Tahoma" w:hAnsi="Tahoma"/>
      <w:sz w:val="20"/>
    </w:rPr>
  </w:style>
  <w:style w:type="paragraph" w:styleId="Voettekst">
    <w:name w:val="footer"/>
    <w:basedOn w:val="Standaard"/>
    <w:link w:val="VoettekstChar"/>
    <w:uiPriority w:val="99"/>
    <w:unhideWhenUsed/>
    <w:rsid w:val="00A607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7E4"/>
    <w:rPr>
      <w:rFonts w:ascii="Tahoma" w:hAnsi="Tahoma"/>
      <w:sz w:val="20"/>
    </w:rPr>
  </w:style>
  <w:style w:type="paragraph" w:styleId="Ballontekst">
    <w:name w:val="Balloon Text"/>
    <w:basedOn w:val="Standaard"/>
    <w:link w:val="BallontekstChar"/>
    <w:uiPriority w:val="99"/>
    <w:semiHidden/>
    <w:unhideWhenUsed/>
    <w:rsid w:val="00AE42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4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38E57-C6C6-4F0A-B41B-2A14DD63B456}">
  <ds:schemaRefs>
    <ds:schemaRef ds:uri="http://schemas.openxmlformats.org/officeDocument/2006/bibliography"/>
  </ds:schemaRefs>
</ds:datastoreItem>
</file>

<file path=customXml/itemProps2.xml><?xml version="1.0" encoding="utf-8"?>
<ds:datastoreItem xmlns:ds="http://schemas.openxmlformats.org/officeDocument/2006/customXml" ds:itemID="{F75242A3-B0AA-4115-A3FD-F41D1A923A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897BC-F621-4CD6-8AE9-A4E1E91ED073}">
  <ds:schemaRefs>
    <ds:schemaRef ds:uri="http://schemas.microsoft.com/sharepoint/v3/contenttype/forms"/>
  </ds:schemaRefs>
</ds:datastoreItem>
</file>

<file path=customXml/itemProps4.xml><?xml version="1.0" encoding="utf-8"?>
<ds:datastoreItem xmlns:ds="http://schemas.openxmlformats.org/officeDocument/2006/customXml" ds:itemID="{7A976360-1973-413C-9B4D-49BA5F3D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Deschacht Ben</dc:creator>
  <cp:keywords/>
  <dc:description/>
  <cp:lastModifiedBy>Lena Sartiaux</cp:lastModifiedBy>
  <cp:revision>13</cp:revision>
  <dcterms:created xsi:type="dcterms:W3CDTF">2020-03-12T09:30:00Z</dcterms:created>
  <dcterms:modified xsi:type="dcterms:W3CDTF">2026-06-15T14:34:00Z</dcterms:modified>
</cp:coreProperties>
</file>