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3C11" w14:textId="17D2CBBD" w:rsidR="003B1CCA" w:rsidRDefault="00C62D84">
      <w:pPr>
        <w:rPr>
          <w:rFonts w:ascii="Arial" w:hAnsi="Arial" w:cs="Arial"/>
          <w:lang w:val="nl-NL"/>
        </w:rPr>
      </w:pPr>
      <w:bookmarkStart w:id="0" w:name="_Hlk71274227"/>
      <w:r w:rsidRPr="00C63E50">
        <w:rPr>
          <w:rFonts w:ascii="Arial" w:hAnsi="Arial" w:cs="Arial"/>
          <w:lang w:val="nl-NL"/>
        </w:rPr>
        <w:tab/>
      </w:r>
      <w:bookmarkEnd w:id="0"/>
    </w:p>
    <w:tbl>
      <w:tblPr>
        <w:tblW w:w="96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3" w:type="dxa"/>
          <w:right w:w="283" w:type="dxa"/>
        </w:tblCellMar>
        <w:tblLook w:val="04A0" w:firstRow="1" w:lastRow="0" w:firstColumn="1" w:lastColumn="0" w:noHBand="0" w:noVBand="1"/>
      </w:tblPr>
      <w:tblGrid>
        <w:gridCol w:w="4822"/>
        <w:gridCol w:w="4824"/>
      </w:tblGrid>
      <w:tr w:rsidR="00055DF4" w:rsidRPr="00055DF4" w14:paraId="0EFA80D5" w14:textId="77777777" w:rsidTr="00DE7EA5">
        <w:tc>
          <w:tcPr>
            <w:tcW w:w="9646" w:type="dxa"/>
            <w:gridSpan w:val="2"/>
            <w:hideMark/>
          </w:tcPr>
          <w:p w14:paraId="263D0BCD" w14:textId="45271AA7" w:rsidR="00055DF4" w:rsidRPr="00055DF4" w:rsidRDefault="00055DF4" w:rsidP="00DE7EA5">
            <w:pPr>
              <w:keepNext/>
              <w:spacing w:before="280" w:after="280" w:line="240" w:lineRule="auto"/>
              <w:jc w:val="center"/>
              <w:outlineLvl w:val="8"/>
              <w:rPr>
                <w:rFonts w:ascii="Arial" w:eastAsia="Times New Roman" w:hAnsi="Arial" w:cs="Arial"/>
                <w:b/>
                <w:lang w:val="nl-BE" w:eastAsia="nl-BE"/>
              </w:rPr>
            </w:pPr>
            <w:r>
              <w:rPr>
                <w:rFonts w:ascii="Arial" w:hAnsi="Arial" w:cs="Arial"/>
                <w:b/>
                <w:spacing w:val="-3"/>
                <w:lang w:val="nl-NL"/>
              </w:rPr>
              <w:t xml:space="preserve">Gecoördineerde versie van de wet 24 januari 1977 </w:t>
            </w:r>
            <w:proofErr w:type="gramStart"/>
            <w:r>
              <w:rPr>
                <w:rFonts w:ascii="Arial" w:hAnsi="Arial" w:cs="Arial"/>
                <w:b/>
                <w:spacing w:val="-3"/>
                <w:lang w:val="nl-NL"/>
              </w:rPr>
              <w:t>betreffende</w:t>
            </w:r>
            <w:proofErr w:type="gramEnd"/>
            <w:r>
              <w:rPr>
                <w:rFonts w:ascii="Arial" w:hAnsi="Arial" w:cs="Arial"/>
                <w:b/>
                <w:spacing w:val="-3"/>
                <w:lang w:val="nl-NL"/>
              </w:rPr>
              <w:t xml:space="preserve"> de bescherming van de gezondheid van de gebruikers op het stuk van de voedingsmiddelen en andere producten (</w:t>
            </w:r>
            <w:r>
              <w:rPr>
                <w:rFonts w:ascii="Arial" w:hAnsi="Arial" w:cs="Arial"/>
                <w:b/>
                <w:spacing w:val="-3"/>
                <w:lang w:val="nl-BE"/>
              </w:rPr>
              <w:t xml:space="preserve">hoofdstuk </w:t>
            </w:r>
            <w:r>
              <w:rPr>
                <w:rFonts w:ascii="Arial" w:hAnsi="Arial" w:cs="Arial"/>
                <w:b/>
                <w:spacing w:val="-3"/>
                <w:lang w:val="nl-NL"/>
              </w:rPr>
              <w:t>8 van het dispositief)</w:t>
            </w:r>
          </w:p>
        </w:tc>
      </w:tr>
      <w:tr w:rsidR="00055DF4" w:rsidRPr="00447CEA" w14:paraId="11F3A58F" w14:textId="77777777" w:rsidTr="00DE7EA5">
        <w:tc>
          <w:tcPr>
            <w:tcW w:w="4822" w:type="dxa"/>
            <w:hideMark/>
          </w:tcPr>
          <w:p w14:paraId="3B2D1830" w14:textId="4657DB4C" w:rsidR="00055DF4" w:rsidRPr="00447CEA" w:rsidRDefault="00055DF4" w:rsidP="00055DF4">
            <w:pPr>
              <w:keepNext/>
              <w:spacing w:before="280" w:after="280" w:line="240" w:lineRule="auto"/>
              <w:jc w:val="center"/>
              <w:outlineLvl w:val="8"/>
              <w:rPr>
                <w:rFonts w:ascii="Arial" w:eastAsia="Times New Roman" w:hAnsi="Arial" w:cs="Arial"/>
                <w:b/>
                <w:lang w:val="fr-BE" w:eastAsia="nl-BE"/>
              </w:rPr>
            </w:pPr>
            <w:r>
              <w:rPr>
                <w:rFonts w:ascii="Arial" w:eastAsia="Times New Roman" w:hAnsi="Arial" w:cs="Arial"/>
                <w:b/>
                <w:lang w:val="nl-BE" w:eastAsia="nl-BE"/>
              </w:rPr>
              <w:t>Basistekst</w:t>
            </w:r>
          </w:p>
        </w:tc>
        <w:tc>
          <w:tcPr>
            <w:tcW w:w="4824" w:type="dxa"/>
            <w:hideMark/>
          </w:tcPr>
          <w:p w14:paraId="4C05B4BD" w14:textId="08D50741" w:rsidR="00055DF4" w:rsidRPr="00447CEA" w:rsidRDefault="00055DF4" w:rsidP="00055DF4">
            <w:pPr>
              <w:keepNext/>
              <w:spacing w:before="280" w:after="280" w:line="240" w:lineRule="auto"/>
              <w:jc w:val="center"/>
              <w:outlineLvl w:val="8"/>
              <w:rPr>
                <w:rFonts w:ascii="Arial" w:eastAsia="Times New Roman" w:hAnsi="Arial" w:cs="Arial"/>
                <w:b/>
                <w:lang w:val="fr-BE" w:eastAsia="nl-BE"/>
              </w:rPr>
            </w:pPr>
            <w:r>
              <w:rPr>
                <w:rFonts w:ascii="Arial" w:eastAsia="Times New Roman" w:hAnsi="Arial" w:cs="Arial"/>
                <w:b/>
                <w:lang w:val="nl-BE" w:eastAsia="nl-BE"/>
              </w:rPr>
              <w:t>Aangepaste tekst</w:t>
            </w:r>
          </w:p>
        </w:tc>
      </w:tr>
      <w:tr w:rsidR="00055DF4" w:rsidRPr="00055DF4" w14:paraId="31171714" w14:textId="77777777" w:rsidTr="00DE7EA5">
        <w:tc>
          <w:tcPr>
            <w:tcW w:w="4822" w:type="dxa"/>
          </w:tcPr>
          <w:p w14:paraId="4B230BD5" w14:textId="6FCE0C49" w:rsidR="00055DF4" w:rsidRPr="00447CEA" w:rsidRDefault="00055DF4" w:rsidP="00055DF4">
            <w:pPr>
              <w:keepNext/>
              <w:spacing w:before="280" w:after="280" w:line="240" w:lineRule="auto"/>
              <w:jc w:val="center"/>
              <w:outlineLvl w:val="8"/>
              <w:rPr>
                <w:rFonts w:ascii="Arial" w:eastAsia="Times New Roman" w:hAnsi="Arial" w:cs="Arial"/>
                <w:b/>
                <w:lang w:val="fr-BE" w:eastAsia="nl-BE"/>
              </w:rPr>
            </w:pPr>
            <w:r w:rsidRPr="00C63E50">
              <w:rPr>
                <w:rFonts w:ascii="Arial" w:eastAsia="Times New Roman" w:hAnsi="Arial" w:cs="Arial"/>
                <w:b/>
                <w:lang w:val="nl-BE" w:eastAsia="nl-BE"/>
              </w:rPr>
              <w:t xml:space="preserve">Art. </w:t>
            </w:r>
            <w:r>
              <w:rPr>
                <w:rFonts w:ascii="Arial" w:eastAsia="Times New Roman" w:hAnsi="Arial" w:cs="Arial"/>
                <w:b/>
                <w:lang w:val="nl-BE" w:eastAsia="nl-BE"/>
              </w:rPr>
              <w:t>11</w:t>
            </w:r>
          </w:p>
        </w:tc>
        <w:tc>
          <w:tcPr>
            <w:tcW w:w="4824" w:type="dxa"/>
          </w:tcPr>
          <w:p w14:paraId="1A89BCA7" w14:textId="5B32718F" w:rsidR="00055DF4" w:rsidRPr="00055DF4" w:rsidRDefault="00055DF4" w:rsidP="00055DF4">
            <w:pPr>
              <w:keepNext/>
              <w:spacing w:before="280" w:after="280" w:line="240" w:lineRule="auto"/>
              <w:jc w:val="center"/>
              <w:outlineLvl w:val="8"/>
              <w:rPr>
                <w:rFonts w:ascii="Arial" w:eastAsia="Times New Roman" w:hAnsi="Arial" w:cs="Arial"/>
                <w:b/>
                <w:lang w:val="nl-BE" w:eastAsia="nl-BE"/>
              </w:rPr>
            </w:pPr>
            <w:r w:rsidRPr="00C63E50">
              <w:rPr>
                <w:rFonts w:ascii="Arial" w:eastAsia="Times New Roman" w:hAnsi="Arial" w:cs="Arial"/>
                <w:b/>
                <w:lang w:val="nl-BE" w:eastAsia="nl-BE"/>
              </w:rPr>
              <w:t xml:space="preserve">Art. </w:t>
            </w:r>
            <w:r>
              <w:rPr>
                <w:rFonts w:ascii="Arial" w:eastAsia="Times New Roman" w:hAnsi="Arial" w:cs="Arial"/>
                <w:b/>
                <w:lang w:val="nl-BE" w:eastAsia="nl-BE"/>
              </w:rPr>
              <w:t xml:space="preserve">11 (art. 33 van het dispositief) </w:t>
            </w:r>
          </w:p>
        </w:tc>
      </w:tr>
      <w:tr w:rsidR="00055DF4" w:rsidRPr="00055DF4" w14:paraId="5DE10835" w14:textId="77777777" w:rsidTr="00DE7EA5">
        <w:tc>
          <w:tcPr>
            <w:tcW w:w="4822" w:type="dxa"/>
          </w:tcPr>
          <w:p w14:paraId="25BF232C" w14:textId="77777777" w:rsidR="00055DF4" w:rsidRPr="002536CE" w:rsidRDefault="00055DF4" w:rsidP="00055DF4">
            <w:pPr>
              <w:jc w:val="both"/>
              <w:rPr>
                <w:rFonts w:ascii="Arial" w:eastAsia="Times New Roman" w:hAnsi="Arial" w:cs="Arial"/>
                <w:b/>
                <w:bCs/>
                <w:sz w:val="12"/>
                <w:szCs w:val="12"/>
                <w:u w:val="single"/>
                <w:lang w:val="nl-BE" w:eastAsia="nl-BE"/>
              </w:rPr>
            </w:pPr>
          </w:p>
          <w:p w14:paraId="5DDD2DE2" w14:textId="09A1F84C" w:rsidR="00055DF4" w:rsidRPr="00055DF4" w:rsidRDefault="00055DF4" w:rsidP="00055DF4">
            <w:pPr>
              <w:jc w:val="both"/>
              <w:rPr>
                <w:rFonts w:ascii="Arial" w:eastAsia="Times New Roman" w:hAnsi="Arial" w:cs="Arial"/>
                <w:bCs/>
                <w:lang w:val="nl-BE" w:eastAsia="nl-BE"/>
              </w:rPr>
            </w:pPr>
            <w:r w:rsidRPr="009512A1">
              <w:rPr>
                <w:rFonts w:ascii="Arial" w:eastAsia="Times New Roman" w:hAnsi="Arial" w:cs="Arial"/>
                <w:b/>
                <w:bCs/>
                <w:u w:val="single"/>
                <w:lang w:val="nl-BE" w:eastAsia="nl-BE"/>
              </w:rPr>
              <w:t>§ 1.</w:t>
            </w:r>
            <w:r w:rsidRPr="000D68C8">
              <w:rPr>
                <w:rFonts w:ascii="Arial" w:eastAsia="Times New Roman" w:hAnsi="Arial" w:cs="Arial"/>
                <w:lang w:val="nl-BE" w:eastAsia="nl-BE"/>
              </w:rPr>
              <w:t xml:space="preserve"> Onverminderd de ambtsbevoegdheden van de officieren van gerechtelijke politie, zien de daartoe door de Koning aangewezen statutaire of contractuele personeelsleden van de Federale Overheidsdienst Volksgezondheid, Veiligheid van de Voedselketen en Leefmilieu toe op de uitvoering van de bepalingen van deze wet en van zijn uitvoeringsbesluiten evenals van de verordeningen van de Europese Unie en die behoren tot de bevoegdheden van Federale Overheidsdienst Volksgezondheid, Veiligheid van de Voedselketen en Leefmilieu door, voorzien van behoorlijke legitimatiebewijzen die door de Koning verder worden uitgewerkt, onaangekondigde inspecties uit te voeren.</w:t>
            </w:r>
            <w:r w:rsidRPr="000D68C8">
              <w:rPr>
                <w:rFonts w:ascii="Arial" w:eastAsia="Times New Roman" w:hAnsi="Arial" w:cs="Arial"/>
                <w:lang w:val="nl-BE" w:eastAsia="nl-BE"/>
              </w:rPr>
              <w:br/>
              <w:t>   De contractuele personeelsleden leggen voorafgaand aan de uitoefening van hun functie, de eed af in handen van de minister of van zijn aangestelde.</w:t>
            </w:r>
            <w:r w:rsidRPr="000D68C8">
              <w:rPr>
                <w:rFonts w:ascii="Arial" w:eastAsia="Times New Roman" w:hAnsi="Arial" w:cs="Arial"/>
                <w:lang w:val="nl-BE" w:eastAsia="nl-BE"/>
              </w:rPr>
              <w:br/>
              <w:t>   De door de Koning aangewezen statutaire of contractuele personeelsleden van de Federale Overheidsdienst Volksgezondheid, Veiligheid van de Voedselketen en Leefmilieu belast met het toezicht op de toepassing van deze wet en op de ter uitvoering ervan getroffen besluiten hebben, binnen de perken van de uitoefening van hun bevoegdheid, zonder voorafgaande verwittiging, toegang tot alle plaatsen die worden gebruikt voor de handel van voedingsmiddelen of andere in deze wet bedoelde producten en tot de daaraan grenzende opslagplaatsen en tot andere plaatsen die aan hun toezicht onderworpen zijn of waarvan zij redelijkerwijze vermoeden dat er inbreuken gepleegd worden op de bepalingen van de wetgevingen waarop zij toezicht uitoefenen. Zij kunnen deze doorzoeken, zelfs indien deze voor het publiek niet toegankelijk zijn.</w:t>
            </w:r>
            <w:r w:rsidRPr="000D68C8">
              <w:rPr>
                <w:rFonts w:ascii="Arial" w:eastAsia="Times New Roman" w:hAnsi="Arial" w:cs="Arial"/>
                <w:lang w:val="nl-BE" w:eastAsia="nl-BE"/>
              </w:rPr>
              <w:br/>
              <w:t>   Zij hebben zonder voorafgaande verwittiging te allen tijde toegang tot de plaatsen die dienen voor de fabricage van voedingsmiddelen of andere in deze wet bedoelde producten die voor de handel bestemd zijn, alsook tot de plaatsen waar deze zijn opgeslagen.</w:t>
            </w:r>
            <w:r w:rsidRPr="000D68C8">
              <w:rPr>
                <w:rFonts w:ascii="Arial" w:eastAsia="Times New Roman" w:hAnsi="Arial" w:cs="Arial"/>
                <w:lang w:val="nl-BE" w:eastAsia="nl-BE"/>
              </w:rPr>
              <w:br/>
              <w:t>   Het bezoek aan plaatsen die uitsluitend als woning dienen is slechts toegestaan tussen 5 uur `s ochtends en 9 uur `s avonds en kan slechts gebeuren met verlof van de rechter.</w:t>
            </w:r>
            <w:r w:rsidRPr="000D68C8">
              <w:rPr>
                <w:rFonts w:ascii="Arial" w:eastAsia="Times New Roman" w:hAnsi="Arial" w:cs="Arial"/>
                <w:lang w:val="nl-BE" w:eastAsia="nl-BE"/>
              </w:rPr>
              <w:br/>
              <w:t>   Zij mogen de overlegging eisen van alle handelsdocumenten en bescheiden betreffende voedingsmiddelen en andere bij deze wet bedoelde producten en van alle documenten verplicht gesteld bij de krachtens deze wet uitgevaardigde besluiten.</w:t>
            </w:r>
            <w:r w:rsidRPr="000D68C8">
              <w:rPr>
                <w:rFonts w:ascii="Arial" w:eastAsia="Times New Roman" w:hAnsi="Arial" w:cs="Arial"/>
                <w:lang w:val="nl-BE" w:eastAsia="nl-BE"/>
              </w:rPr>
              <w:br/>
              <w:t xml:space="preserve">   Zij mogen overgaan tot de controle van transporten, openbaar vervoer en vervoermiddelen. </w:t>
            </w:r>
          </w:p>
        </w:tc>
        <w:tc>
          <w:tcPr>
            <w:tcW w:w="4824" w:type="dxa"/>
          </w:tcPr>
          <w:p w14:paraId="405D0A1E" w14:textId="77777777" w:rsidR="00055DF4" w:rsidRDefault="00055DF4" w:rsidP="00055DF4">
            <w:pPr>
              <w:keepNext/>
              <w:spacing w:before="280" w:after="280" w:line="240" w:lineRule="auto"/>
              <w:jc w:val="both"/>
              <w:outlineLvl w:val="8"/>
              <w:rPr>
                <w:rFonts w:ascii="Arial" w:eastAsia="Times New Roman" w:hAnsi="Arial" w:cs="Arial"/>
                <w:lang w:val="nl-BE" w:eastAsia="nl-BE"/>
              </w:rPr>
            </w:pPr>
            <w:r w:rsidRPr="00031505">
              <w:rPr>
                <w:rFonts w:ascii="Arial" w:eastAsia="Times New Roman" w:hAnsi="Arial" w:cs="Arial"/>
                <w:b/>
                <w:bCs/>
                <w:u w:val="single"/>
                <w:lang w:val="nl-BE" w:eastAsia="nl-BE"/>
              </w:rPr>
              <w:t>§ 1.</w:t>
            </w:r>
            <w:r w:rsidRPr="000D68C8">
              <w:rPr>
                <w:rFonts w:ascii="Arial" w:eastAsia="Times New Roman" w:hAnsi="Arial" w:cs="Arial"/>
                <w:lang w:val="nl-BE" w:eastAsia="nl-BE"/>
              </w:rPr>
              <w:t xml:space="preserve"> Onverminderd de ambtsbevoegdheden van de officieren van gerechtelijke politie, zien de daartoe door de Koning aangewezen statutaire of contractuele personeelsleden van de Federale Overheidsdienst Volksgezondheid, Veiligheid van de Voedselketen en Leefmilieu toe op de uitvoering van de bepalingen van deze wet en van zijn uitvoeringsbesluiten evenals van de verordeningen van de Europese Unie en die behoren tot de bevoegdheden van Federale Overheidsdienst Volksgezondheid, Veiligheid van de Voedselketen en Leefmilieu door, voorzien van behoorlijke legitimatiebewijzen die door de Koning verder worden uitgewerkt, onaangekondigde inspecties uit te voeren.</w:t>
            </w:r>
            <w:r w:rsidRPr="000D68C8">
              <w:rPr>
                <w:rFonts w:ascii="Arial" w:eastAsia="Times New Roman" w:hAnsi="Arial" w:cs="Arial"/>
                <w:lang w:val="nl-BE" w:eastAsia="nl-BE"/>
              </w:rPr>
              <w:br/>
              <w:t>   De contractuele personeelsleden leggen voorafgaand aan de uitoefening van hun functie, de eed af in handen van de minister of van zijn aangestelde.</w:t>
            </w:r>
            <w:r w:rsidRPr="000D68C8">
              <w:rPr>
                <w:rFonts w:ascii="Arial" w:eastAsia="Times New Roman" w:hAnsi="Arial" w:cs="Arial"/>
                <w:lang w:val="nl-BE" w:eastAsia="nl-BE"/>
              </w:rPr>
              <w:br/>
              <w:t>   De door de Koning aangewezen statutaire of contractuele personeelsleden van de Federale Overheidsdienst Volksgezondheid, Veiligheid van de Voedselketen en Leefmilieu belast met het toezicht op de toepassing van deze wet en op de ter uitvoering ervan getroffen besluiten hebben, binnen de perken van de uitoefening van hun bevoegdheid, zonder voorafgaande verwittiging, toegang tot alle plaatsen die worden gebruikt voor de handel van voedingsmiddelen of andere in deze wet bedoelde producten en tot de daaraan grenzende opslagplaatsen en tot andere plaatsen die aan hun toezicht onderworpen zijn of waarvan zij redelijkerwijze vermoeden dat er inbreuken gepleegd worden op de bepalingen van de wetgevingen waarop zij toezicht uitoefenen. Zij kunnen deze doorzoeken, zelfs indien deze voor het publiek niet toegankelijk zijn.</w:t>
            </w:r>
            <w:r w:rsidRPr="000D68C8">
              <w:rPr>
                <w:rFonts w:ascii="Arial" w:eastAsia="Times New Roman" w:hAnsi="Arial" w:cs="Arial"/>
                <w:lang w:val="nl-BE" w:eastAsia="nl-BE"/>
              </w:rPr>
              <w:br/>
              <w:t>   Zij hebben zonder voorafgaande verwittiging te allen tijde toegang tot de plaatsen die dienen voor de fabricage van voedingsmiddelen of andere in deze wet bedoelde producten die voor de handel bestemd zijn, alsook tot de plaatsen waar deze zijn opgeslagen.</w:t>
            </w:r>
            <w:r w:rsidRPr="000D68C8">
              <w:rPr>
                <w:rFonts w:ascii="Arial" w:eastAsia="Times New Roman" w:hAnsi="Arial" w:cs="Arial"/>
                <w:lang w:val="nl-BE" w:eastAsia="nl-BE"/>
              </w:rPr>
              <w:br/>
              <w:t>   Het bezoek aan plaatsen die uitsluitend als woning dienen is slechts toegestaan tussen 5 uur `s ochtends en 9 uur `s avonds en kan slechts gebeuren met verlof van de rechter.</w:t>
            </w:r>
            <w:r w:rsidRPr="000D68C8">
              <w:rPr>
                <w:rFonts w:ascii="Arial" w:eastAsia="Times New Roman" w:hAnsi="Arial" w:cs="Arial"/>
                <w:lang w:val="nl-BE" w:eastAsia="nl-BE"/>
              </w:rPr>
              <w:br/>
              <w:t>   Zij mogen de overlegging eisen van alle handelsdocumenten en bescheiden betreffende voedingsmiddelen en andere bij deze wet bedoelde producten en van alle documenten verplicht gesteld bij de krachtens deze wet uitgevaardigde besluiten.</w:t>
            </w:r>
            <w:r w:rsidRPr="000D68C8">
              <w:rPr>
                <w:rFonts w:ascii="Arial" w:eastAsia="Times New Roman" w:hAnsi="Arial" w:cs="Arial"/>
                <w:lang w:val="nl-BE" w:eastAsia="nl-BE"/>
              </w:rPr>
              <w:br/>
              <w:t>   Zij mogen overgaan tot de controle van transporten, openbaar vervoer en vervoermiddelen.</w:t>
            </w:r>
          </w:p>
          <w:p w14:paraId="4C5A0993" w14:textId="77777777" w:rsidR="00055DF4" w:rsidRPr="00466CCE" w:rsidRDefault="00055DF4" w:rsidP="00055DF4">
            <w:pPr>
              <w:keepNext/>
              <w:spacing w:before="280" w:after="280" w:line="240" w:lineRule="auto"/>
              <w:jc w:val="both"/>
              <w:outlineLvl w:val="8"/>
              <w:rPr>
                <w:rFonts w:ascii="Arial" w:eastAsia="Times New Roman" w:hAnsi="Arial" w:cs="Arial"/>
                <w:b/>
                <w:lang w:val="nl-BE" w:eastAsia="nl-BE"/>
              </w:rPr>
            </w:pPr>
            <w:r>
              <w:rPr>
                <w:rFonts w:ascii="Arial" w:eastAsia="Times New Roman" w:hAnsi="Arial" w:cs="Arial"/>
                <w:b/>
                <w:lang w:val="nl-BE" w:eastAsia="nl-BE"/>
              </w:rPr>
              <w:t xml:space="preserve"> </w:t>
            </w:r>
            <w:r w:rsidRPr="00466CCE">
              <w:rPr>
                <w:rFonts w:ascii="Arial" w:eastAsia="Times New Roman" w:hAnsi="Arial" w:cs="Arial"/>
                <w:b/>
                <w:lang w:val="nl-BE" w:eastAsia="nl-BE"/>
              </w:rPr>
              <w:t xml:space="preserve">Zij mogen natuurlijke en rechtspersonen identificeren aan de hand van het telefoonnummer van de betrokkene of het IP-adres dat aan de bron van de elektronische communicatie ligt. Hiertoe mogen zij met gemotiveerd verzoek de verstrekking van de identificatiedocumenten en gegevens vorderen </w:t>
            </w:r>
            <w:proofErr w:type="gramStart"/>
            <w:r w:rsidRPr="00466CCE">
              <w:rPr>
                <w:rFonts w:ascii="Arial" w:eastAsia="Times New Roman" w:hAnsi="Arial" w:cs="Arial"/>
                <w:b/>
                <w:lang w:val="nl-BE" w:eastAsia="nl-BE"/>
              </w:rPr>
              <w:t>van :</w:t>
            </w:r>
            <w:proofErr w:type="gramEnd"/>
            <w:r w:rsidRPr="00466CCE">
              <w:rPr>
                <w:rFonts w:ascii="Arial" w:eastAsia="Times New Roman" w:hAnsi="Arial" w:cs="Arial"/>
                <w:b/>
                <w:lang w:val="nl-BE" w:eastAsia="nl-BE"/>
              </w:rPr>
              <w:t xml:space="preserve"> </w:t>
            </w:r>
          </w:p>
          <w:p w14:paraId="352E1CBA" w14:textId="77777777" w:rsidR="00055DF4" w:rsidRPr="00466CCE" w:rsidRDefault="00055DF4" w:rsidP="00055DF4">
            <w:pPr>
              <w:keepNext/>
              <w:spacing w:before="280" w:after="280" w:line="240" w:lineRule="auto"/>
              <w:jc w:val="both"/>
              <w:outlineLvl w:val="8"/>
              <w:rPr>
                <w:rFonts w:ascii="Arial" w:eastAsia="Times New Roman" w:hAnsi="Arial" w:cs="Arial"/>
                <w:b/>
                <w:lang w:val="nl-BE" w:eastAsia="nl-BE"/>
              </w:rPr>
            </w:pPr>
            <w:r w:rsidRPr="00466CCE">
              <w:rPr>
                <w:rFonts w:ascii="Arial" w:eastAsia="Times New Roman" w:hAnsi="Arial" w:cs="Arial"/>
                <w:b/>
                <w:lang w:val="nl-BE" w:eastAsia="nl-BE"/>
              </w:rPr>
              <w:t xml:space="preserve">1° de operator van een elektronisch communicatienetwerk; en </w:t>
            </w:r>
          </w:p>
          <w:p w14:paraId="4510DA9F" w14:textId="77777777" w:rsidR="00055DF4" w:rsidRPr="00466CCE" w:rsidRDefault="00055DF4" w:rsidP="00055DF4">
            <w:pPr>
              <w:keepNext/>
              <w:spacing w:before="280" w:after="280" w:line="240" w:lineRule="auto"/>
              <w:jc w:val="both"/>
              <w:outlineLvl w:val="8"/>
              <w:rPr>
                <w:rFonts w:ascii="Arial" w:eastAsia="Times New Roman" w:hAnsi="Arial" w:cs="Arial"/>
                <w:b/>
                <w:lang w:val="nl-BE" w:eastAsia="nl-BE"/>
              </w:rPr>
            </w:pPr>
            <w:r w:rsidRPr="00466CCE">
              <w:rPr>
                <w:rFonts w:ascii="Arial" w:eastAsia="Times New Roman" w:hAnsi="Arial" w:cs="Arial"/>
                <w:b/>
                <w:lang w:val="nl-BE" w:eastAsia="nl-BE"/>
              </w:rPr>
              <w:t xml:space="preserve">2° iedereen die binnen het Belgisch grondgebied, op welke wijze ook een dienst beschikbaar stelt of aanbiedt, die bestaat in het overbrengen van signalen via elektronische communicatienetwerken, of </w:t>
            </w:r>
            <w:proofErr w:type="gramStart"/>
            <w:r w:rsidRPr="00466CCE">
              <w:rPr>
                <w:rFonts w:ascii="Arial" w:eastAsia="Times New Roman" w:hAnsi="Arial" w:cs="Arial"/>
                <w:b/>
                <w:lang w:val="nl-BE" w:eastAsia="nl-BE"/>
              </w:rPr>
              <w:t>er in</w:t>
            </w:r>
            <w:proofErr w:type="gramEnd"/>
            <w:r w:rsidRPr="00466CCE">
              <w:rPr>
                <w:rFonts w:ascii="Arial" w:eastAsia="Times New Roman" w:hAnsi="Arial" w:cs="Arial"/>
                <w:b/>
                <w:lang w:val="nl-BE" w:eastAsia="nl-BE"/>
              </w:rPr>
              <w:t xml:space="preserve"> bestaat gebruikers toe te laten via een elektronisch communicatienetwerk informatie te verkrijgen of te ontvangen of te verspreiden. Hieronder wordt ook de verstrekker van een elektronische communicatiedienst begrepen.</w:t>
            </w:r>
          </w:p>
          <w:p w14:paraId="2D562BF4" w14:textId="329FD171" w:rsidR="00055DF4" w:rsidRPr="00055DF4" w:rsidRDefault="00055DF4" w:rsidP="00055DF4">
            <w:pPr>
              <w:jc w:val="both"/>
              <w:rPr>
                <w:rFonts w:ascii="Arial" w:hAnsi="Arial" w:cs="Arial"/>
                <w:lang w:val="nl-BE"/>
              </w:rPr>
            </w:pPr>
            <w:r w:rsidRPr="00466CCE">
              <w:rPr>
                <w:rFonts w:ascii="Arial" w:eastAsia="Times New Roman" w:hAnsi="Arial" w:cs="Arial"/>
                <w:b/>
                <w:lang w:val="nl-BE" w:eastAsia="nl-BE"/>
              </w:rPr>
              <w:t>Onverminderd een eventuele delegatie, dient elk identificatieverzoek voorafgaand, door het diensthoofd van de Inspectiedienst consumptieproducten van de FOD Volksgezondheid, Veiligheid van de Voedselketen en Leefmilieu schriftelijk goedgekeurd te worden.</w:t>
            </w:r>
          </w:p>
        </w:tc>
      </w:tr>
      <w:tr w:rsidR="00055DF4" w:rsidRPr="00055DF4" w14:paraId="76841DB4" w14:textId="77777777" w:rsidTr="00DE7EA5">
        <w:tc>
          <w:tcPr>
            <w:tcW w:w="4822" w:type="dxa"/>
          </w:tcPr>
          <w:p w14:paraId="1D04B30F" w14:textId="49FC78D7" w:rsidR="00055DF4" w:rsidRPr="00055DF4" w:rsidRDefault="00055DF4" w:rsidP="00055DF4">
            <w:pPr>
              <w:jc w:val="both"/>
              <w:rPr>
                <w:rFonts w:ascii="Arial" w:eastAsia="Times New Roman" w:hAnsi="Arial" w:cs="Arial"/>
                <w:lang w:val="nl-BE" w:eastAsia="nl-BE"/>
              </w:rPr>
            </w:pPr>
            <w:r w:rsidRPr="000D68C8">
              <w:rPr>
                <w:rFonts w:ascii="Arial" w:eastAsia="Times New Roman" w:hAnsi="Arial" w:cs="Arial"/>
                <w:lang w:val="nl-BE" w:eastAsia="nl-BE"/>
              </w:rPr>
              <w:t>§ 2. Zij stellen de overtredingen van de desbetreffende wetten en besluiten vast in processen-verbaal die gelden tot het tegendeel bewezen is.</w:t>
            </w:r>
            <w:r w:rsidRPr="000D68C8">
              <w:rPr>
                <w:rFonts w:ascii="Arial" w:eastAsia="Times New Roman" w:hAnsi="Arial" w:cs="Arial"/>
                <w:lang w:val="nl-BE" w:eastAsia="nl-BE"/>
              </w:rPr>
              <w:br/>
              <w:t xml:space="preserve">  Ze kunnen overgaan tot het verhoor van de overtreder en tot elk ander nuttig verhoor. </w:t>
            </w:r>
            <w:r w:rsidRPr="000D68C8">
              <w:rPr>
                <w:rFonts w:ascii="Arial" w:eastAsia="Times New Roman" w:hAnsi="Arial" w:cs="Arial"/>
                <w:lang w:val="nl-BE" w:eastAsia="nl-BE"/>
              </w:rPr>
              <w:br/>
              <w:t xml:space="preserve">  Een afschrift van het proces-verbaal wordt binnen dertig dagen na de vaststelling van de overtreding aan de geverbaliseerde overgezonden.  Ze kunnen, bij de uitoefening van hun opdrachten, de hulp van de politiemacht inroepen. </w:t>
            </w:r>
            <w:r w:rsidRPr="000D68C8">
              <w:rPr>
                <w:rFonts w:ascii="Arial" w:eastAsia="Times New Roman" w:hAnsi="Arial" w:cs="Arial"/>
                <w:lang w:val="nl-BE" w:eastAsia="nl-BE"/>
              </w:rPr>
              <w:br/>
              <w:t xml:space="preserve">  Zij kunnen overgaan tot de verzegeling van automatische distributieapparaten die niet voldoen aan artikel 6, §§ 4 en 6. De voorwaarden hiervoor worden uitgewerkt door de minister. </w:t>
            </w:r>
            <w:r w:rsidRPr="000D68C8">
              <w:rPr>
                <w:rFonts w:ascii="Arial" w:eastAsia="Times New Roman" w:hAnsi="Arial" w:cs="Arial"/>
                <w:lang w:val="nl-BE" w:eastAsia="nl-BE"/>
              </w:rPr>
              <w:br/>
              <w:t xml:space="preserve">   Zij kunnen overgaan tot elk onderzoek, controle en verhoor en alle inlichtingen inwinnen die zij nodig achten om zich ervan te vergewissen dat de bepalingen van de wetgeving waarop zij toezicht uitoefenen, werkelijk worden nageleefd, en inzonderheid de identiteit opnemen van gelijk welke persoon, wiens verhoor zij nodig achten voor de uitoefening van het toezicht. </w:t>
            </w:r>
          </w:p>
        </w:tc>
        <w:tc>
          <w:tcPr>
            <w:tcW w:w="4824" w:type="dxa"/>
          </w:tcPr>
          <w:p w14:paraId="5856017E" w14:textId="2EDCFB1B" w:rsidR="00055DF4" w:rsidRPr="00055DF4" w:rsidRDefault="00055DF4" w:rsidP="00055DF4">
            <w:pPr>
              <w:jc w:val="both"/>
              <w:rPr>
                <w:rFonts w:ascii="Arial" w:hAnsi="Arial" w:cs="Arial"/>
                <w:lang w:val="nl-BE"/>
              </w:rPr>
            </w:pPr>
            <w:r w:rsidRPr="000D68C8">
              <w:rPr>
                <w:rFonts w:ascii="Arial" w:eastAsia="Times New Roman" w:hAnsi="Arial" w:cs="Arial"/>
                <w:lang w:val="nl-BE" w:eastAsia="nl-BE"/>
              </w:rPr>
              <w:t>§ 2. Zij stellen de overtredingen van de desbetreffende wetten en besluiten vast in processen-verbaal die gelden tot het tegendeel bewezen is.</w:t>
            </w:r>
            <w:r w:rsidRPr="000D68C8">
              <w:rPr>
                <w:rFonts w:ascii="Arial" w:eastAsia="Times New Roman" w:hAnsi="Arial" w:cs="Arial"/>
                <w:lang w:val="nl-BE" w:eastAsia="nl-BE"/>
              </w:rPr>
              <w:br/>
              <w:t xml:space="preserve">  Ze kunnen overgaan tot het verhoor van de overtreder en tot elk ander nuttig verhoor. </w:t>
            </w:r>
            <w:r w:rsidRPr="000D68C8">
              <w:rPr>
                <w:rFonts w:ascii="Arial" w:eastAsia="Times New Roman" w:hAnsi="Arial" w:cs="Arial"/>
                <w:lang w:val="nl-BE" w:eastAsia="nl-BE"/>
              </w:rPr>
              <w:br/>
              <w:t xml:space="preserve">  Een afschrift van het proces-verbaal wordt binnen dertig dagen na de vaststelling van de overtreding aan de geverbaliseerde overgezonden.  Ze kunnen, bij de uitoefening van hun opdrachten, de hulp van de politiemacht inroepen. </w:t>
            </w:r>
            <w:r w:rsidRPr="000D68C8">
              <w:rPr>
                <w:rFonts w:ascii="Arial" w:eastAsia="Times New Roman" w:hAnsi="Arial" w:cs="Arial"/>
                <w:lang w:val="nl-BE" w:eastAsia="nl-BE"/>
              </w:rPr>
              <w:br/>
              <w:t xml:space="preserve">  Zij kunnen overgaan tot de verzegeling van automatische distributieapparaten die niet voldoen aan artikel 6, §§ 4 en 6. De voorwaarden hiervoor worden uitgewerkt door de minister. </w:t>
            </w:r>
            <w:r w:rsidRPr="000D68C8">
              <w:rPr>
                <w:rFonts w:ascii="Arial" w:eastAsia="Times New Roman" w:hAnsi="Arial" w:cs="Arial"/>
                <w:lang w:val="nl-BE" w:eastAsia="nl-BE"/>
              </w:rPr>
              <w:br/>
              <w:t>   Zij kunnen overgaan tot elk onderzoek, controle en verhoor en alle inlichtingen inwinnen die zij nodig achten om zich ervan te vergewissen dat de bepalingen van de wetgeving waarop zij toezicht uitoefenen, werkelijk worden nageleefd, en inzonderheid de identiteit opnemen van gelijk welke persoon, wiens verhoor zij nodig achten voor de uitoefening van het toezicht.</w:t>
            </w:r>
          </w:p>
        </w:tc>
      </w:tr>
      <w:tr w:rsidR="00055DF4" w:rsidRPr="00055DF4" w14:paraId="5FAE6C32" w14:textId="77777777" w:rsidTr="00DE7EA5">
        <w:tc>
          <w:tcPr>
            <w:tcW w:w="4822" w:type="dxa"/>
          </w:tcPr>
          <w:p w14:paraId="457487EA" w14:textId="2139E6DB" w:rsidR="00055DF4" w:rsidRPr="00055DF4" w:rsidRDefault="00055DF4" w:rsidP="00055DF4">
            <w:pPr>
              <w:jc w:val="both"/>
              <w:rPr>
                <w:rFonts w:ascii="Arial" w:eastAsia="Times New Roman" w:hAnsi="Arial" w:cs="Arial"/>
                <w:lang w:val="nl-BE" w:eastAsia="nl-BE"/>
              </w:rPr>
            </w:pPr>
            <w:r w:rsidRPr="000D68C8">
              <w:rPr>
                <w:rFonts w:ascii="Arial" w:eastAsia="Times New Roman" w:hAnsi="Arial" w:cs="Arial"/>
                <w:lang w:val="nl-BE" w:eastAsia="nl-BE"/>
              </w:rPr>
              <w:t xml:space="preserve">§ 3. Het proces-verbaal houdende vaststelling van de overtredingen bedoeld in artikel 19 en opgesteld door de door de Koning aangestelde toezichthoudende (personen, bedoeld in § 1), wordt overgemaakt aan de </w:t>
            </w:r>
            <w:proofErr w:type="gramStart"/>
            <w:r w:rsidRPr="000D68C8">
              <w:rPr>
                <w:rFonts w:ascii="Arial" w:eastAsia="Times New Roman" w:hAnsi="Arial" w:cs="Arial"/>
                <w:lang w:val="nl-BE" w:eastAsia="nl-BE"/>
              </w:rPr>
              <w:t>krachtens</w:t>
            </w:r>
            <w:proofErr w:type="gramEnd"/>
            <w:r w:rsidRPr="000D68C8">
              <w:rPr>
                <w:rFonts w:ascii="Arial" w:eastAsia="Times New Roman" w:hAnsi="Arial" w:cs="Arial"/>
                <w:lang w:val="nl-BE" w:eastAsia="nl-BE"/>
              </w:rPr>
              <w:t xml:space="preserve"> artikel 19 aangestelde ambtenaar. </w:t>
            </w:r>
            <w:proofErr w:type="gramStart"/>
            <w:r w:rsidRPr="000D68C8">
              <w:rPr>
                <w:rFonts w:ascii="Arial" w:eastAsia="Times New Roman" w:hAnsi="Arial" w:cs="Arial"/>
                <w:lang w:val="nl-BE" w:eastAsia="nl-BE"/>
              </w:rPr>
              <w:t>Indien</w:t>
            </w:r>
            <w:proofErr w:type="gramEnd"/>
            <w:r w:rsidRPr="000D68C8">
              <w:rPr>
                <w:rFonts w:ascii="Arial" w:eastAsia="Times New Roman" w:hAnsi="Arial" w:cs="Arial"/>
                <w:lang w:val="nl-BE" w:eastAsia="nl-BE"/>
              </w:rPr>
              <w:t xml:space="preserve"> dit proces-verbaal is opgemaakt door de burgemeester of diens gemachtigde kan het eveneens aan deze ambtenaar worden toegezonden</w:t>
            </w:r>
            <w:r w:rsidRPr="000D68C8">
              <w:rPr>
                <w:rFonts w:ascii="Arial" w:eastAsia="Times New Roman" w:hAnsi="Arial" w:cs="Arial"/>
                <w:lang w:val="nl-BE" w:eastAsia="nl-BE"/>
              </w:rPr>
              <w:br/>
              <w:t>  Wanneer toepassing wordt gemaakt van artikel 11bis, wordt het proces-verbaal aan de procureur des Konings pas toegezonden, wanneer aan de waarschuwing geen gevolg is gegeven.</w:t>
            </w:r>
          </w:p>
        </w:tc>
        <w:tc>
          <w:tcPr>
            <w:tcW w:w="4824" w:type="dxa"/>
          </w:tcPr>
          <w:p w14:paraId="228EE9DC" w14:textId="30F15462" w:rsidR="00055DF4" w:rsidRPr="00055DF4" w:rsidRDefault="00055DF4" w:rsidP="00055DF4">
            <w:pPr>
              <w:jc w:val="both"/>
              <w:rPr>
                <w:rFonts w:ascii="Arial" w:hAnsi="Arial" w:cs="Arial"/>
                <w:lang w:val="nl-BE"/>
              </w:rPr>
            </w:pPr>
            <w:r w:rsidRPr="000D68C8">
              <w:rPr>
                <w:rFonts w:ascii="Arial" w:eastAsia="Times New Roman" w:hAnsi="Arial" w:cs="Arial"/>
                <w:lang w:val="nl-BE" w:eastAsia="nl-BE"/>
              </w:rPr>
              <w:t xml:space="preserve">§ 3. Het proces-verbaal houdende vaststelling van de overtredingen bedoeld in artikel 19 en opgesteld door de door de Koning aangestelde toezichthoudende (personen, bedoeld in § 1), wordt overgemaakt aan de </w:t>
            </w:r>
            <w:proofErr w:type="gramStart"/>
            <w:r w:rsidRPr="000D68C8">
              <w:rPr>
                <w:rFonts w:ascii="Arial" w:eastAsia="Times New Roman" w:hAnsi="Arial" w:cs="Arial"/>
                <w:lang w:val="nl-BE" w:eastAsia="nl-BE"/>
              </w:rPr>
              <w:t>krachtens</w:t>
            </w:r>
            <w:proofErr w:type="gramEnd"/>
            <w:r w:rsidRPr="000D68C8">
              <w:rPr>
                <w:rFonts w:ascii="Arial" w:eastAsia="Times New Roman" w:hAnsi="Arial" w:cs="Arial"/>
                <w:lang w:val="nl-BE" w:eastAsia="nl-BE"/>
              </w:rPr>
              <w:t xml:space="preserve"> artikel 19 aangestelde ambtenaar. </w:t>
            </w:r>
            <w:proofErr w:type="gramStart"/>
            <w:r w:rsidRPr="000D68C8">
              <w:rPr>
                <w:rFonts w:ascii="Arial" w:eastAsia="Times New Roman" w:hAnsi="Arial" w:cs="Arial"/>
                <w:lang w:val="nl-BE" w:eastAsia="nl-BE"/>
              </w:rPr>
              <w:t>Indien</w:t>
            </w:r>
            <w:proofErr w:type="gramEnd"/>
            <w:r w:rsidRPr="000D68C8">
              <w:rPr>
                <w:rFonts w:ascii="Arial" w:eastAsia="Times New Roman" w:hAnsi="Arial" w:cs="Arial"/>
                <w:lang w:val="nl-BE" w:eastAsia="nl-BE"/>
              </w:rPr>
              <w:t xml:space="preserve"> dit proces-verbaal is opgemaakt door de burgemeester of diens gemachtigde kan het eveneens aan deze ambtenaar worden toegezonden</w:t>
            </w:r>
            <w:r w:rsidRPr="000D68C8">
              <w:rPr>
                <w:rFonts w:ascii="Arial" w:eastAsia="Times New Roman" w:hAnsi="Arial" w:cs="Arial"/>
                <w:lang w:val="nl-BE" w:eastAsia="nl-BE"/>
              </w:rPr>
              <w:br/>
              <w:t>  Wanneer toepassing wordt gemaakt van artikel 11bis, wordt het proces-verbaal aan de procureur des Konings pas toegezonden, wanneer aan de waarschuwing geen gevolg is gegeven.</w:t>
            </w:r>
          </w:p>
        </w:tc>
      </w:tr>
      <w:tr w:rsidR="00055DF4" w:rsidRPr="00055DF4" w14:paraId="370EB8D2" w14:textId="77777777" w:rsidTr="00DE7EA5">
        <w:tc>
          <w:tcPr>
            <w:tcW w:w="4822" w:type="dxa"/>
          </w:tcPr>
          <w:p w14:paraId="41799ABF" w14:textId="11F4E1AD" w:rsidR="00055DF4" w:rsidRPr="00055DF4" w:rsidRDefault="00055DF4" w:rsidP="00055DF4">
            <w:pPr>
              <w:jc w:val="both"/>
              <w:rPr>
                <w:rFonts w:ascii="Arial" w:eastAsia="Times New Roman" w:hAnsi="Arial" w:cs="Arial"/>
                <w:lang w:val="nl-BE" w:eastAsia="nl-BE"/>
              </w:rPr>
            </w:pPr>
            <w:r w:rsidRPr="000D68C8">
              <w:rPr>
                <w:rFonts w:ascii="Arial" w:eastAsia="Times New Roman" w:hAnsi="Arial" w:cs="Arial"/>
                <w:lang w:val="nl-BE" w:eastAsia="nl-BE"/>
              </w:rPr>
              <w:t xml:space="preserve">§ 4. De Koning kan andere regelen voor de inspectie en controle vaststellen, ten einde te voldoen aan de verplichtingen die voortvloeien uit de internationale verdragen en de </w:t>
            </w:r>
            <w:proofErr w:type="gramStart"/>
            <w:r w:rsidRPr="000D68C8">
              <w:rPr>
                <w:rFonts w:ascii="Arial" w:eastAsia="Times New Roman" w:hAnsi="Arial" w:cs="Arial"/>
                <w:lang w:val="nl-BE" w:eastAsia="nl-BE"/>
              </w:rPr>
              <w:t>krachtens</w:t>
            </w:r>
            <w:proofErr w:type="gramEnd"/>
            <w:r w:rsidRPr="000D68C8">
              <w:rPr>
                <w:rFonts w:ascii="Arial" w:eastAsia="Times New Roman" w:hAnsi="Arial" w:cs="Arial"/>
                <w:lang w:val="nl-BE" w:eastAsia="nl-BE"/>
              </w:rPr>
              <w:t xml:space="preserve"> die verdragen tot stand gekomen internationale akten</w:t>
            </w:r>
            <w:r>
              <w:rPr>
                <w:rFonts w:ascii="Arial" w:eastAsia="Times New Roman" w:hAnsi="Arial" w:cs="Arial"/>
                <w:lang w:val="nl-BE" w:eastAsia="nl-BE"/>
              </w:rPr>
              <w:t>.</w:t>
            </w:r>
          </w:p>
        </w:tc>
        <w:tc>
          <w:tcPr>
            <w:tcW w:w="4824" w:type="dxa"/>
          </w:tcPr>
          <w:p w14:paraId="71327065" w14:textId="75461634" w:rsidR="00055DF4" w:rsidRPr="00055DF4" w:rsidRDefault="00055DF4" w:rsidP="00055DF4">
            <w:pPr>
              <w:jc w:val="both"/>
              <w:rPr>
                <w:rFonts w:ascii="Arial" w:hAnsi="Arial" w:cs="Arial"/>
                <w:lang w:val="nl-BE"/>
              </w:rPr>
            </w:pPr>
            <w:r w:rsidRPr="000D68C8">
              <w:rPr>
                <w:rFonts w:ascii="Arial" w:eastAsia="Times New Roman" w:hAnsi="Arial" w:cs="Arial"/>
                <w:lang w:val="nl-BE" w:eastAsia="nl-BE"/>
              </w:rPr>
              <w:t xml:space="preserve">§ 4. De Koning kan andere regelen voor de inspectie en controle vaststellen, ten einde te voldoen aan de verplichtingen die voortvloeien uit de internationale verdragen en de </w:t>
            </w:r>
            <w:proofErr w:type="gramStart"/>
            <w:r w:rsidRPr="000D68C8">
              <w:rPr>
                <w:rFonts w:ascii="Arial" w:eastAsia="Times New Roman" w:hAnsi="Arial" w:cs="Arial"/>
                <w:lang w:val="nl-BE" w:eastAsia="nl-BE"/>
              </w:rPr>
              <w:t>krachtens</w:t>
            </w:r>
            <w:proofErr w:type="gramEnd"/>
            <w:r w:rsidRPr="000D68C8">
              <w:rPr>
                <w:rFonts w:ascii="Arial" w:eastAsia="Times New Roman" w:hAnsi="Arial" w:cs="Arial"/>
                <w:lang w:val="nl-BE" w:eastAsia="nl-BE"/>
              </w:rPr>
              <w:t xml:space="preserve"> die verdragen tot stand gekomen internationale akten</w:t>
            </w:r>
            <w:r>
              <w:rPr>
                <w:rFonts w:ascii="Arial" w:eastAsia="Times New Roman" w:hAnsi="Arial" w:cs="Arial"/>
                <w:lang w:val="nl-BE" w:eastAsia="nl-BE"/>
              </w:rPr>
              <w:t>.</w:t>
            </w:r>
          </w:p>
        </w:tc>
      </w:tr>
      <w:tr w:rsidR="00055DF4" w:rsidRPr="00055DF4" w14:paraId="7F82A566" w14:textId="77777777" w:rsidTr="00DE7EA5">
        <w:tc>
          <w:tcPr>
            <w:tcW w:w="4822" w:type="dxa"/>
          </w:tcPr>
          <w:p w14:paraId="4AD519F1" w14:textId="28572461" w:rsidR="00055DF4" w:rsidRPr="00055DF4" w:rsidRDefault="00055DF4" w:rsidP="00055DF4">
            <w:pPr>
              <w:jc w:val="both"/>
              <w:rPr>
                <w:rFonts w:ascii="Arial" w:eastAsia="Times New Roman" w:hAnsi="Arial" w:cs="Arial"/>
                <w:lang w:val="nl-BE" w:eastAsia="nl-BE"/>
              </w:rPr>
            </w:pPr>
            <w:r w:rsidRPr="000D68C8">
              <w:rPr>
                <w:rFonts w:ascii="Arial" w:eastAsia="Times New Roman" w:hAnsi="Arial" w:cs="Arial"/>
                <w:lang w:val="nl-BE" w:eastAsia="nl-BE"/>
              </w:rPr>
              <w:t>§ 5. De bepalingen van dit artikel zijn niet van toepassing op de controles die worden verricht met toepassing van de wet van 4 februari 2000 houdende oprichting van het Federaal Agentschap voor de Veiligheid van de Voedselketen.</w:t>
            </w:r>
          </w:p>
        </w:tc>
        <w:tc>
          <w:tcPr>
            <w:tcW w:w="4824" w:type="dxa"/>
          </w:tcPr>
          <w:p w14:paraId="6C512198" w14:textId="623591A0" w:rsidR="00055DF4" w:rsidRPr="00055DF4" w:rsidRDefault="00055DF4" w:rsidP="00055DF4">
            <w:pPr>
              <w:jc w:val="both"/>
              <w:rPr>
                <w:rFonts w:ascii="Arial" w:hAnsi="Arial" w:cs="Arial"/>
                <w:lang w:val="nl-BE"/>
              </w:rPr>
            </w:pPr>
            <w:r w:rsidRPr="000D68C8">
              <w:rPr>
                <w:rFonts w:ascii="Arial" w:eastAsia="Times New Roman" w:hAnsi="Arial" w:cs="Arial"/>
                <w:lang w:val="nl-BE" w:eastAsia="nl-BE"/>
              </w:rPr>
              <w:t>§ 5. De bepalingen van dit artikel zijn niet van toepassing op de controles die worden verricht met toepassing van de wet van 4 februari 2000 houdende oprichting van het Federaal Agentschap voor de Veiligheid van de Voedselketen.</w:t>
            </w:r>
          </w:p>
        </w:tc>
      </w:tr>
    </w:tbl>
    <w:p w14:paraId="52102A85" w14:textId="77777777" w:rsidR="00055DF4" w:rsidRPr="00055DF4" w:rsidRDefault="00055DF4" w:rsidP="00055DF4">
      <w:pPr>
        <w:rPr>
          <w:rFonts w:ascii="Arial" w:hAnsi="Arial" w:cs="Arial"/>
          <w:lang w:val="nl-BE"/>
        </w:rPr>
      </w:pPr>
    </w:p>
    <w:sectPr w:rsidR="00055DF4" w:rsidRPr="00055DF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C165" w14:textId="77777777" w:rsidR="00D82CB6" w:rsidRDefault="00D82CB6" w:rsidP="00D82CB6">
      <w:pPr>
        <w:spacing w:after="0" w:line="240" w:lineRule="auto"/>
      </w:pPr>
      <w:r>
        <w:separator/>
      </w:r>
    </w:p>
  </w:endnote>
  <w:endnote w:type="continuationSeparator" w:id="0">
    <w:p w14:paraId="6CD6083B" w14:textId="77777777" w:rsidR="00D82CB6" w:rsidRDefault="00D82CB6" w:rsidP="00D8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C6C6" w14:textId="77777777" w:rsidR="00D82CB6" w:rsidRDefault="00D82CB6" w:rsidP="00D82CB6">
      <w:pPr>
        <w:spacing w:after="0" w:line="240" w:lineRule="auto"/>
      </w:pPr>
      <w:r>
        <w:separator/>
      </w:r>
    </w:p>
  </w:footnote>
  <w:footnote w:type="continuationSeparator" w:id="0">
    <w:p w14:paraId="3A82630E" w14:textId="77777777" w:rsidR="00D82CB6" w:rsidRDefault="00D82CB6" w:rsidP="00D82C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B6"/>
    <w:rsid w:val="00031505"/>
    <w:rsid w:val="0004286A"/>
    <w:rsid w:val="00055DF4"/>
    <w:rsid w:val="0005701E"/>
    <w:rsid w:val="00081367"/>
    <w:rsid w:val="00082258"/>
    <w:rsid w:val="00094BD0"/>
    <w:rsid w:val="000B40A2"/>
    <w:rsid w:val="000D2680"/>
    <w:rsid w:val="000D68C8"/>
    <w:rsid w:val="00135924"/>
    <w:rsid w:val="00143B3C"/>
    <w:rsid w:val="001705E5"/>
    <w:rsid w:val="001D5029"/>
    <w:rsid w:val="00201CBC"/>
    <w:rsid w:val="00201FBA"/>
    <w:rsid w:val="0021278F"/>
    <w:rsid w:val="0023049D"/>
    <w:rsid w:val="00246F1E"/>
    <w:rsid w:val="002536CE"/>
    <w:rsid w:val="002B0853"/>
    <w:rsid w:val="002C19A4"/>
    <w:rsid w:val="002C4E31"/>
    <w:rsid w:val="002F2413"/>
    <w:rsid w:val="002F7AF0"/>
    <w:rsid w:val="00307E7A"/>
    <w:rsid w:val="003357AE"/>
    <w:rsid w:val="00371C76"/>
    <w:rsid w:val="003747EC"/>
    <w:rsid w:val="003940DC"/>
    <w:rsid w:val="003A7E67"/>
    <w:rsid w:val="003B1CCA"/>
    <w:rsid w:val="003B50C8"/>
    <w:rsid w:val="00414558"/>
    <w:rsid w:val="00435E05"/>
    <w:rsid w:val="00466CCE"/>
    <w:rsid w:val="00496C79"/>
    <w:rsid w:val="004D364B"/>
    <w:rsid w:val="00507C86"/>
    <w:rsid w:val="00525102"/>
    <w:rsid w:val="0053704D"/>
    <w:rsid w:val="00556D3E"/>
    <w:rsid w:val="005D2ED2"/>
    <w:rsid w:val="00650261"/>
    <w:rsid w:val="007014B6"/>
    <w:rsid w:val="007263DC"/>
    <w:rsid w:val="00734055"/>
    <w:rsid w:val="00734F00"/>
    <w:rsid w:val="00743D32"/>
    <w:rsid w:val="00782BA0"/>
    <w:rsid w:val="007924C5"/>
    <w:rsid w:val="00796F08"/>
    <w:rsid w:val="007D32D8"/>
    <w:rsid w:val="007E0DA6"/>
    <w:rsid w:val="007E25B9"/>
    <w:rsid w:val="007E3E75"/>
    <w:rsid w:val="007E79D3"/>
    <w:rsid w:val="0081305E"/>
    <w:rsid w:val="00871FDC"/>
    <w:rsid w:val="008B58AD"/>
    <w:rsid w:val="008E2828"/>
    <w:rsid w:val="008E3E3E"/>
    <w:rsid w:val="009403CD"/>
    <w:rsid w:val="009512A1"/>
    <w:rsid w:val="00952D4E"/>
    <w:rsid w:val="00952F27"/>
    <w:rsid w:val="009B423C"/>
    <w:rsid w:val="009D1447"/>
    <w:rsid w:val="009D2716"/>
    <w:rsid w:val="00A0310D"/>
    <w:rsid w:val="00A058E3"/>
    <w:rsid w:val="00A20457"/>
    <w:rsid w:val="00A43096"/>
    <w:rsid w:val="00A46483"/>
    <w:rsid w:val="00A73581"/>
    <w:rsid w:val="00A97E7E"/>
    <w:rsid w:val="00AD108A"/>
    <w:rsid w:val="00AE355B"/>
    <w:rsid w:val="00AE5833"/>
    <w:rsid w:val="00AE76CF"/>
    <w:rsid w:val="00B46CCA"/>
    <w:rsid w:val="00B72FA9"/>
    <w:rsid w:val="00BC4D24"/>
    <w:rsid w:val="00BF17DE"/>
    <w:rsid w:val="00C00985"/>
    <w:rsid w:val="00C37881"/>
    <w:rsid w:val="00C50B95"/>
    <w:rsid w:val="00C62D84"/>
    <w:rsid w:val="00C63E50"/>
    <w:rsid w:val="00C75B02"/>
    <w:rsid w:val="00CC6F93"/>
    <w:rsid w:val="00CC7346"/>
    <w:rsid w:val="00CE520B"/>
    <w:rsid w:val="00D354F9"/>
    <w:rsid w:val="00D60D4B"/>
    <w:rsid w:val="00D82CB6"/>
    <w:rsid w:val="00D93EA2"/>
    <w:rsid w:val="00DB05FC"/>
    <w:rsid w:val="00DB490A"/>
    <w:rsid w:val="00DB4CB3"/>
    <w:rsid w:val="00DB7906"/>
    <w:rsid w:val="00E05629"/>
    <w:rsid w:val="00E5145D"/>
    <w:rsid w:val="00E730DB"/>
    <w:rsid w:val="00E91DE1"/>
    <w:rsid w:val="00EA6E10"/>
    <w:rsid w:val="00EE4D65"/>
    <w:rsid w:val="00EF27D3"/>
    <w:rsid w:val="00EF6CD7"/>
    <w:rsid w:val="00EF7B53"/>
    <w:rsid w:val="00F039EB"/>
    <w:rsid w:val="00F306D4"/>
    <w:rsid w:val="00F6346C"/>
    <w:rsid w:val="00F863D2"/>
    <w:rsid w:val="00FC22EB"/>
    <w:rsid w:val="00FE4F53"/>
    <w:rsid w:val="00FF0679"/>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23185"/>
  <w15:chartTrackingRefBased/>
  <w15:docId w15:val="{053971A0-D00C-4707-BCF9-60D7FEAF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F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B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2BA0"/>
    <w:rPr>
      <w:rFonts w:ascii="Segoe UI" w:hAnsi="Segoe UI" w:cs="Segoe UI"/>
      <w:sz w:val="18"/>
      <w:szCs w:val="18"/>
    </w:rPr>
  </w:style>
  <w:style w:type="character" w:styleId="Lienhypertexte">
    <w:name w:val="Hyperlink"/>
    <w:basedOn w:val="Policepardfaut"/>
    <w:uiPriority w:val="99"/>
    <w:unhideWhenUsed/>
    <w:rsid w:val="000D68C8"/>
    <w:rPr>
      <w:color w:val="0563C1" w:themeColor="hyperlink"/>
      <w:u w:val="single"/>
    </w:rPr>
  </w:style>
  <w:style w:type="character" w:styleId="Mentionnonrsolue">
    <w:name w:val="Unresolved Mention"/>
    <w:basedOn w:val="Policepardfaut"/>
    <w:uiPriority w:val="99"/>
    <w:semiHidden/>
    <w:unhideWhenUsed/>
    <w:rsid w:val="000D68C8"/>
    <w:rPr>
      <w:color w:val="605E5C"/>
      <w:shd w:val="clear" w:color="auto" w:fill="E1DFDD"/>
    </w:rPr>
  </w:style>
  <w:style w:type="character" w:styleId="Numrodeligne">
    <w:name w:val="line number"/>
    <w:basedOn w:val="Policepardfaut"/>
    <w:uiPriority w:val="99"/>
    <w:semiHidden/>
    <w:unhideWhenUsed/>
    <w:rsid w:val="00D82CB6"/>
  </w:style>
  <w:style w:type="paragraph" w:styleId="En-tte">
    <w:name w:val="header"/>
    <w:basedOn w:val="Normal"/>
    <w:link w:val="En-tteCar"/>
    <w:uiPriority w:val="99"/>
    <w:unhideWhenUsed/>
    <w:rsid w:val="00D82CB6"/>
    <w:pPr>
      <w:tabs>
        <w:tab w:val="center" w:pos="4536"/>
        <w:tab w:val="right" w:pos="9072"/>
      </w:tabs>
      <w:spacing w:after="0" w:line="240" w:lineRule="auto"/>
    </w:pPr>
  </w:style>
  <w:style w:type="character" w:customStyle="1" w:styleId="En-tteCar">
    <w:name w:val="En-tête Car"/>
    <w:basedOn w:val="Policepardfaut"/>
    <w:link w:val="En-tte"/>
    <w:uiPriority w:val="99"/>
    <w:rsid w:val="00D82CB6"/>
  </w:style>
  <w:style w:type="paragraph" w:styleId="Pieddepage">
    <w:name w:val="footer"/>
    <w:basedOn w:val="Normal"/>
    <w:link w:val="PieddepageCar"/>
    <w:uiPriority w:val="99"/>
    <w:unhideWhenUsed/>
    <w:rsid w:val="00D82C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1742">
      <w:bodyDiv w:val="1"/>
      <w:marLeft w:val="0"/>
      <w:marRight w:val="0"/>
      <w:marTop w:val="0"/>
      <w:marBottom w:val="0"/>
      <w:divBdr>
        <w:top w:val="none" w:sz="0" w:space="0" w:color="auto"/>
        <w:left w:val="none" w:sz="0" w:space="0" w:color="auto"/>
        <w:bottom w:val="none" w:sz="0" w:space="0" w:color="auto"/>
        <w:right w:val="none" w:sz="0" w:space="0" w:color="auto"/>
      </w:divBdr>
    </w:div>
    <w:div w:id="1015036515">
      <w:bodyDiv w:val="1"/>
      <w:marLeft w:val="0"/>
      <w:marRight w:val="0"/>
      <w:marTop w:val="0"/>
      <w:marBottom w:val="0"/>
      <w:divBdr>
        <w:top w:val="none" w:sz="0" w:space="0" w:color="auto"/>
        <w:left w:val="none" w:sz="0" w:space="0" w:color="auto"/>
        <w:bottom w:val="none" w:sz="0" w:space="0" w:color="auto"/>
        <w:right w:val="none" w:sz="0" w:space="0" w:color="auto"/>
      </w:divBdr>
    </w:div>
    <w:div w:id="21110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DS20-1372834777-1051</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http://teamworkingspace.bipt.local/sites/dossiers2020/12/2020001255/_layouts/DocIdRedir.aspx?ID=DS20-1372834777-1051</Url>
      <Description>DS20-1372834777-1051</Description>
    </_dlc_DocIdUrl>
    <TaxCatchAll xmlns="2b4b6fc7-bde4-44a8-8bca-a78eb25a27e9">
      <Value>27</Value>
    </TaxCatchAll>
    <QuickPartDocumentId xmlns="2b4b6fc7-bde4-44a8-8bca-a78eb25a27e9">DS20-1372834777-1051</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809f83d77633ee78b121d3aeefb9fa0b">
  <xsd:schema xmlns:xsd="http://www.w3.org/2001/XMLSchema" xmlns:xs="http://www.w3.org/2001/XMLSchema" xmlns:p="http://schemas.microsoft.com/office/2006/metadata/properties" xmlns:ns2="2b4b6fc7-bde4-44a8-8bca-a78eb25a27e9" targetNamespace="http://schemas.microsoft.com/office/2006/metadata/properties" ma:root="true" ma:fieldsID="aad46e680d108e5ef1d0aca47538b567"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Valeur d’ID de document" ma:description="Valeur de l’ID de document affecté à cet élément."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F92DD-17B5-4572-9CC4-05382920F005}"/>
</file>

<file path=customXml/itemProps2.xml><?xml version="1.0" encoding="utf-8"?>
<ds:datastoreItem xmlns:ds="http://schemas.openxmlformats.org/officeDocument/2006/customXml" ds:itemID="{4D0A7BA4-D8BA-44BA-B876-80D583A74A52}"/>
</file>

<file path=customXml/itemProps3.xml><?xml version="1.0" encoding="utf-8"?>
<ds:datastoreItem xmlns:ds="http://schemas.openxmlformats.org/officeDocument/2006/customXml" ds:itemID="{55AEFC09-2B26-4841-A39D-CAABAA1DC868}"/>
</file>

<file path=customXml/itemProps4.xml><?xml version="1.0" encoding="utf-8"?>
<ds:datastoreItem xmlns:ds="http://schemas.openxmlformats.org/officeDocument/2006/customXml" ds:itemID="{BC4B28E9-172A-4B15-96A6-03A83F37DA64}"/>
</file>

<file path=customXml/itemProps5.xml><?xml version="1.0" encoding="utf-8"?>
<ds:datastoreItem xmlns:ds="http://schemas.openxmlformats.org/officeDocument/2006/customXml" ds:itemID="{2FD9727C-5693-48DA-BC1F-BE9D8C4D9803}"/>
</file>

<file path=docProps/app.xml><?xml version="1.0" encoding="utf-8"?>
<Properties xmlns="http://schemas.openxmlformats.org/officeDocument/2006/extended-properties" xmlns:vt="http://schemas.openxmlformats.org/officeDocument/2006/docPropsVTypes">
  <Template>Normal</Template>
  <TotalTime>66</TotalTime>
  <Pages>4</Pages>
  <Words>1575</Words>
  <Characters>8668</Characters>
  <Application>Microsoft Office Word</Application>
  <DocSecurity>0</DocSecurity>
  <Lines>72</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health.fgov.be</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 Emeline</dc:creator>
  <cp:keywords/>
  <dc:description/>
  <cp:lastModifiedBy>Madani Mohammed</cp:lastModifiedBy>
  <cp:revision>13</cp:revision>
  <cp:lastPrinted>2016-05-24T06:08:00Z</cp:lastPrinted>
  <dcterms:created xsi:type="dcterms:W3CDTF">2021-05-06T17:38:00Z</dcterms:created>
  <dcterms:modified xsi:type="dcterms:W3CDTF">2021-05-07T09:12:00Z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
  </property>
  <property fmtid="{D5CDD505-2E9C-101B-9397-08002B2CF9AE}" pid="8" name="Document Type">
    <vt:lpwstr/>
  </property>
  <property fmtid="{D5CDD505-2E9C-101B-9397-08002B2CF9AE}" pid="9" name="Answer or Initiative">
    <vt:lpwstr/>
  </property>
  <property fmtid="{D5CDD505-2E9C-101B-9397-08002B2CF9AE}" pid="10" name="_dlc_DocIdItemGuid">
    <vt:lpwstr>d1c82244-45a6-4762-99f7-5685d35bae05</vt:lpwstr>
  </property>
</Properties>
</file>