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9D7561" w:rsidRPr="006015D9" w14:paraId="2C714A9B" w14:textId="77777777" w:rsidTr="009D7561">
        <w:tc>
          <w:tcPr>
            <w:tcW w:w="4508" w:type="dxa"/>
          </w:tcPr>
          <w:p w14:paraId="2C714A99" w14:textId="77777777" w:rsidR="009D7561" w:rsidRPr="009D7561" w:rsidRDefault="009D7561" w:rsidP="009D7561">
            <w:pPr>
              <w:jc w:val="center"/>
              <w:rPr>
                <w:b/>
                <w:sz w:val="28"/>
                <w:szCs w:val="28"/>
                <w:lang w:val="fr-FR"/>
              </w:rPr>
            </w:pPr>
            <w:r w:rsidRPr="009D7561">
              <w:rPr>
                <w:b/>
                <w:sz w:val="28"/>
                <w:szCs w:val="28"/>
                <w:lang w:val="fr-FR"/>
              </w:rPr>
              <w:t>Art. 88bis du Code d’instruction criminelle, APRES ANNULATION DE LA LOI DU 29 MAI 2016 PAR LA COUR CONSTITUTIONNELLE</w:t>
            </w:r>
          </w:p>
        </w:tc>
        <w:tc>
          <w:tcPr>
            <w:tcW w:w="4508" w:type="dxa"/>
          </w:tcPr>
          <w:p w14:paraId="2C714A9A" w14:textId="00B0FD55" w:rsidR="009D7561" w:rsidRPr="009D7561" w:rsidRDefault="009D7561" w:rsidP="009D7561">
            <w:pPr>
              <w:jc w:val="center"/>
              <w:rPr>
                <w:b/>
                <w:sz w:val="28"/>
                <w:szCs w:val="28"/>
                <w:lang w:val="fr-FR"/>
              </w:rPr>
            </w:pPr>
            <w:r w:rsidRPr="009D7561">
              <w:rPr>
                <w:b/>
                <w:sz w:val="28"/>
                <w:szCs w:val="28"/>
                <w:lang w:val="fr-FR"/>
              </w:rPr>
              <w:t>Art. 88bis après modification par l’avant-projet de loi</w:t>
            </w:r>
            <w:r w:rsidR="006015D9">
              <w:rPr>
                <w:b/>
                <w:sz w:val="28"/>
                <w:szCs w:val="28"/>
                <w:lang w:val="fr-FR"/>
              </w:rPr>
              <w:t xml:space="preserve"> (art. 17 et 18 du dispositif) </w:t>
            </w:r>
          </w:p>
        </w:tc>
      </w:tr>
      <w:tr w:rsidR="009D7561" w:rsidRPr="006015D9" w14:paraId="2C714A9E" w14:textId="77777777" w:rsidTr="009D7561">
        <w:tc>
          <w:tcPr>
            <w:tcW w:w="4508" w:type="dxa"/>
          </w:tcPr>
          <w:p w14:paraId="2C714A9C" w14:textId="77777777" w:rsidR="009D7561" w:rsidRPr="009D7561" w:rsidRDefault="009D7561">
            <w:pPr>
              <w:rPr>
                <w:lang w:val="fr-FR"/>
              </w:rPr>
            </w:pPr>
          </w:p>
        </w:tc>
        <w:tc>
          <w:tcPr>
            <w:tcW w:w="4508" w:type="dxa"/>
          </w:tcPr>
          <w:p w14:paraId="2C714A9D" w14:textId="77777777" w:rsidR="009D7561" w:rsidRPr="009D7561" w:rsidRDefault="009D7561">
            <w:pPr>
              <w:rPr>
                <w:lang w:val="fr-FR"/>
              </w:rPr>
            </w:pPr>
          </w:p>
        </w:tc>
      </w:tr>
      <w:tr w:rsidR="009D7561" w:rsidRPr="006015D9" w14:paraId="2C714AA9" w14:textId="77777777" w:rsidTr="009D7561">
        <w:tc>
          <w:tcPr>
            <w:tcW w:w="4508" w:type="dxa"/>
          </w:tcPr>
          <w:p w14:paraId="2C714A9F" w14:textId="77777777" w:rsidR="009D7561" w:rsidRDefault="009D7561" w:rsidP="009D7561">
            <w:pPr>
              <w:jc w:val="both"/>
              <w:rPr>
                <w:lang w:val="fr-FR"/>
              </w:rPr>
            </w:pPr>
            <w:r w:rsidRPr="009D7561">
              <w:rPr>
                <w:lang w:val="fr-FR"/>
              </w:rPr>
              <w:t>§ 1</w:t>
            </w:r>
            <w:r w:rsidRPr="009D7561">
              <w:rPr>
                <w:vertAlign w:val="superscript"/>
                <w:lang w:val="fr-FR"/>
              </w:rPr>
              <w:t>er</w:t>
            </w:r>
            <w:r w:rsidRPr="009D7561">
              <w:rPr>
                <w:lang w:val="fr-FR"/>
              </w:rPr>
              <w:t>. S'il existe des indices sérieux que les infractions sont de nature à entraîner un emprisonnement correctionnel principal d'un an ou une peine plus lourde, et lorsque le juge d'instruction estime qu'il existe des circonstances qui rendent le repérage de communications électroniques ou la localisation de l'origine ou de la destination de communications électroniques nécessaire à la manifestation de la vérité, il peut faire procéder:</w:t>
            </w:r>
          </w:p>
          <w:p w14:paraId="2C714AA0" w14:textId="77777777" w:rsidR="009D7561" w:rsidRPr="009D7561" w:rsidRDefault="009D7561" w:rsidP="009D7561">
            <w:pPr>
              <w:jc w:val="both"/>
              <w:rPr>
                <w:lang w:val="fr-FR"/>
              </w:rPr>
            </w:pPr>
          </w:p>
          <w:p w14:paraId="2C714AA1" w14:textId="77777777" w:rsidR="009D7561" w:rsidRPr="009D7561" w:rsidRDefault="009D7561" w:rsidP="009D7561">
            <w:pPr>
              <w:jc w:val="both"/>
              <w:rPr>
                <w:lang w:val="fr-FR"/>
              </w:rPr>
            </w:pPr>
            <w:r w:rsidRPr="009D7561">
              <w:rPr>
                <w:lang w:val="fr-FR"/>
              </w:rPr>
              <w:t>1° au repérage des données de trafic de moyens de communication électronique à partir desquels ou vers lesquels des communications électroniques sont adressées ou ont été adressées;</w:t>
            </w:r>
          </w:p>
          <w:p w14:paraId="2C714AA2" w14:textId="77777777" w:rsidR="009D7561" w:rsidRDefault="009D7561" w:rsidP="009D7561">
            <w:pPr>
              <w:jc w:val="both"/>
              <w:rPr>
                <w:lang w:val="fr-FR"/>
              </w:rPr>
            </w:pPr>
          </w:p>
          <w:p w14:paraId="2C714AA3" w14:textId="77777777" w:rsidR="009D7561" w:rsidRPr="009D7561" w:rsidRDefault="009D7561" w:rsidP="009D7561">
            <w:pPr>
              <w:jc w:val="both"/>
              <w:rPr>
                <w:lang w:val="fr-FR"/>
              </w:rPr>
            </w:pPr>
            <w:r w:rsidRPr="009D7561">
              <w:rPr>
                <w:lang w:val="fr-FR"/>
              </w:rPr>
              <w:t>2° à la localisation de l'origine ou de la destination de communications électroniques.</w:t>
            </w:r>
          </w:p>
        </w:tc>
        <w:tc>
          <w:tcPr>
            <w:tcW w:w="4508" w:type="dxa"/>
          </w:tcPr>
          <w:p w14:paraId="2C714AA4" w14:textId="77777777" w:rsidR="009D7561" w:rsidRPr="009D7561" w:rsidRDefault="009D7561" w:rsidP="009D7561">
            <w:pPr>
              <w:jc w:val="both"/>
              <w:rPr>
                <w:lang w:val="fr-FR"/>
              </w:rPr>
            </w:pPr>
            <w:r w:rsidRPr="009D7561">
              <w:rPr>
                <w:lang w:val="fr-FR"/>
              </w:rPr>
              <w:t>§ 1er. S'il existe des indices sérieux que les infractions sont de nature à entraîner un emprisonnement correctionnel principal d'un an ou une peine plus lourde, et lorsque le juge d'instruction estime qu'il existe des circonstances qui rendent le repérage de communications électroniques ou la localisation de l'origine ou de la destination de communications électroniques nécessaire à la manifestation de la vérité, il peut faire procéder:</w:t>
            </w:r>
          </w:p>
          <w:p w14:paraId="2C714AA5" w14:textId="77777777" w:rsidR="009D7561" w:rsidRPr="009D7561" w:rsidRDefault="009D7561" w:rsidP="009D7561">
            <w:pPr>
              <w:jc w:val="both"/>
              <w:rPr>
                <w:lang w:val="fr-FR"/>
              </w:rPr>
            </w:pPr>
          </w:p>
          <w:p w14:paraId="2C714AA6" w14:textId="77777777" w:rsidR="009D7561" w:rsidRPr="009D7561" w:rsidRDefault="009D7561" w:rsidP="009D7561">
            <w:pPr>
              <w:jc w:val="both"/>
              <w:rPr>
                <w:lang w:val="fr-FR"/>
              </w:rPr>
            </w:pPr>
            <w:r w:rsidRPr="009D7561">
              <w:rPr>
                <w:lang w:val="fr-FR"/>
              </w:rPr>
              <w:t>1° au repérage des données de trafic de moyens de communication électronique à partir desquels ou vers lesquels des communications électroniques sont adressées ou ont été adressées;</w:t>
            </w:r>
          </w:p>
          <w:p w14:paraId="2C714AA7" w14:textId="77777777" w:rsidR="009D7561" w:rsidRPr="009D7561" w:rsidRDefault="009D7561" w:rsidP="009D7561">
            <w:pPr>
              <w:jc w:val="both"/>
              <w:rPr>
                <w:lang w:val="fr-FR"/>
              </w:rPr>
            </w:pPr>
          </w:p>
          <w:p w14:paraId="2C714AA8" w14:textId="77777777" w:rsidR="009D7561" w:rsidRPr="009D7561" w:rsidRDefault="009D7561" w:rsidP="009D7561">
            <w:pPr>
              <w:jc w:val="both"/>
              <w:rPr>
                <w:lang w:val="fr-FR"/>
              </w:rPr>
            </w:pPr>
            <w:r w:rsidRPr="009D7561">
              <w:rPr>
                <w:lang w:val="fr-FR"/>
              </w:rPr>
              <w:t>2° à la localisation de l'origine ou de la destination de communications électroniques.</w:t>
            </w:r>
          </w:p>
        </w:tc>
      </w:tr>
      <w:tr w:rsidR="009D7561" w:rsidRPr="006015D9" w14:paraId="2C714AAC" w14:textId="77777777" w:rsidTr="009D7561">
        <w:tc>
          <w:tcPr>
            <w:tcW w:w="4508" w:type="dxa"/>
          </w:tcPr>
          <w:p w14:paraId="2C714AAA" w14:textId="77777777" w:rsidR="009D7561" w:rsidRPr="009D7561" w:rsidRDefault="009D7561">
            <w:pPr>
              <w:rPr>
                <w:lang w:val="fr-FR"/>
              </w:rPr>
            </w:pPr>
          </w:p>
        </w:tc>
        <w:tc>
          <w:tcPr>
            <w:tcW w:w="4508" w:type="dxa"/>
          </w:tcPr>
          <w:p w14:paraId="2C714AAB" w14:textId="77777777" w:rsidR="009D7561" w:rsidRPr="009D7561" w:rsidRDefault="009D7561">
            <w:pPr>
              <w:rPr>
                <w:lang w:val="fr-FR"/>
              </w:rPr>
            </w:pPr>
          </w:p>
        </w:tc>
      </w:tr>
      <w:tr w:rsidR="009D7561" w:rsidRPr="006015D9" w14:paraId="2C714AB7" w14:textId="77777777" w:rsidTr="009D7561">
        <w:tc>
          <w:tcPr>
            <w:tcW w:w="4508" w:type="dxa"/>
          </w:tcPr>
          <w:p w14:paraId="2C714AAD" w14:textId="77777777" w:rsidR="009D7561" w:rsidRDefault="009D7561" w:rsidP="009D7561">
            <w:pPr>
              <w:jc w:val="both"/>
              <w:rPr>
                <w:lang w:val="fr-FR"/>
              </w:rPr>
            </w:pPr>
            <w:r w:rsidRPr="009D7561">
              <w:rPr>
                <w:lang w:val="fr-FR"/>
              </w:rPr>
              <w:t>Si nécessaire, il peut pour ce faire requérir, directement ou par l'intermédiaire du service de police désigné par le Roi, la collaboration:</w:t>
            </w:r>
          </w:p>
          <w:p w14:paraId="2C714AAE" w14:textId="77777777" w:rsidR="009D7561" w:rsidRPr="009D7561" w:rsidRDefault="009D7561" w:rsidP="009D7561">
            <w:pPr>
              <w:jc w:val="both"/>
              <w:rPr>
                <w:lang w:val="fr-FR"/>
              </w:rPr>
            </w:pPr>
          </w:p>
          <w:p w14:paraId="2C714AAF" w14:textId="77777777" w:rsidR="009D7561" w:rsidRPr="009D7561" w:rsidRDefault="009D7561" w:rsidP="009D7561">
            <w:pPr>
              <w:jc w:val="both"/>
              <w:rPr>
                <w:lang w:val="fr-FR"/>
              </w:rPr>
            </w:pPr>
            <w:r w:rsidRPr="009D7561">
              <w:rPr>
                <w:lang w:val="fr-FR"/>
              </w:rPr>
              <w:t>- de l'opérateur d'un réseau de communications électroniques; et</w:t>
            </w:r>
          </w:p>
          <w:p w14:paraId="2C714AB0" w14:textId="77777777" w:rsidR="009D7561" w:rsidRDefault="009D7561" w:rsidP="009D7561">
            <w:pPr>
              <w:jc w:val="both"/>
              <w:rPr>
                <w:lang w:val="fr-FR"/>
              </w:rPr>
            </w:pPr>
          </w:p>
          <w:p w14:paraId="2C714AB1" w14:textId="77777777" w:rsidR="009D7561" w:rsidRPr="009D7561" w:rsidRDefault="009D7561" w:rsidP="009D7561">
            <w:pPr>
              <w:jc w:val="both"/>
              <w:rPr>
                <w:lang w:val="fr-FR"/>
              </w:rPr>
            </w:pPr>
            <w:r w:rsidRPr="009D7561">
              <w:rPr>
                <w:lang w:val="fr-FR"/>
              </w:rPr>
              <w:t>- de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w:t>
            </w:r>
          </w:p>
        </w:tc>
        <w:tc>
          <w:tcPr>
            <w:tcW w:w="4508" w:type="dxa"/>
          </w:tcPr>
          <w:p w14:paraId="2C714AB2" w14:textId="77777777" w:rsidR="009D7561" w:rsidRPr="009D7561" w:rsidRDefault="009D7561" w:rsidP="009D7561">
            <w:pPr>
              <w:jc w:val="both"/>
              <w:rPr>
                <w:lang w:val="fr-FR"/>
              </w:rPr>
            </w:pPr>
            <w:r w:rsidRPr="009D7561">
              <w:rPr>
                <w:lang w:val="fr-FR"/>
              </w:rPr>
              <w:t>Si nécessaire, il peut pour ce faire requérir, directement ou par l'intermédiaire du service de police désigné par le Roi, la collaboration:</w:t>
            </w:r>
          </w:p>
          <w:p w14:paraId="2C714AB3" w14:textId="77777777" w:rsidR="009D7561" w:rsidRPr="009D7561" w:rsidRDefault="009D7561" w:rsidP="009D7561">
            <w:pPr>
              <w:jc w:val="both"/>
              <w:rPr>
                <w:lang w:val="fr-FR"/>
              </w:rPr>
            </w:pPr>
          </w:p>
          <w:p w14:paraId="2C714AB4" w14:textId="77777777" w:rsidR="009D7561" w:rsidRPr="009D7561" w:rsidRDefault="009D7561" w:rsidP="009D7561">
            <w:pPr>
              <w:jc w:val="both"/>
              <w:rPr>
                <w:lang w:val="fr-FR"/>
              </w:rPr>
            </w:pPr>
            <w:r w:rsidRPr="009D7561">
              <w:rPr>
                <w:lang w:val="fr-FR"/>
              </w:rPr>
              <w:t>- de l'opérateur d'un réseau de communications électroniques; et</w:t>
            </w:r>
          </w:p>
          <w:p w14:paraId="2C714AB5" w14:textId="77777777" w:rsidR="009D7561" w:rsidRPr="009D7561" w:rsidRDefault="009D7561" w:rsidP="009D7561">
            <w:pPr>
              <w:jc w:val="both"/>
              <w:rPr>
                <w:lang w:val="fr-FR"/>
              </w:rPr>
            </w:pPr>
          </w:p>
          <w:p w14:paraId="2C714AB6" w14:textId="77777777" w:rsidR="009D7561" w:rsidRPr="009D7561" w:rsidRDefault="009D7561" w:rsidP="009D7561">
            <w:pPr>
              <w:jc w:val="both"/>
              <w:rPr>
                <w:lang w:val="fr-FR"/>
              </w:rPr>
            </w:pPr>
            <w:r w:rsidRPr="009D7561">
              <w:rPr>
                <w:lang w:val="fr-FR"/>
              </w:rPr>
              <w:t>- de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w:t>
            </w:r>
          </w:p>
        </w:tc>
      </w:tr>
      <w:tr w:rsidR="009D7561" w:rsidRPr="006015D9" w14:paraId="2C714ABA" w14:textId="77777777" w:rsidTr="009D7561">
        <w:tc>
          <w:tcPr>
            <w:tcW w:w="4508" w:type="dxa"/>
          </w:tcPr>
          <w:p w14:paraId="2C714AB8" w14:textId="77777777" w:rsidR="009D7561" w:rsidRPr="009D7561" w:rsidRDefault="009D7561">
            <w:pPr>
              <w:rPr>
                <w:lang w:val="fr-FR"/>
              </w:rPr>
            </w:pPr>
          </w:p>
        </w:tc>
        <w:tc>
          <w:tcPr>
            <w:tcW w:w="4508" w:type="dxa"/>
          </w:tcPr>
          <w:p w14:paraId="2C714AB9" w14:textId="77777777" w:rsidR="009D7561" w:rsidRPr="009D7561" w:rsidRDefault="009D7561">
            <w:pPr>
              <w:rPr>
                <w:lang w:val="fr-FR"/>
              </w:rPr>
            </w:pPr>
          </w:p>
        </w:tc>
      </w:tr>
      <w:tr w:rsidR="009D7561" w:rsidRPr="006015D9" w14:paraId="2C714ABD" w14:textId="77777777" w:rsidTr="009D7561">
        <w:tc>
          <w:tcPr>
            <w:tcW w:w="4508" w:type="dxa"/>
          </w:tcPr>
          <w:p w14:paraId="2C714ABB" w14:textId="77777777" w:rsidR="009D7561" w:rsidRPr="009D7561" w:rsidRDefault="009D7561" w:rsidP="009D7561">
            <w:pPr>
              <w:jc w:val="both"/>
              <w:rPr>
                <w:lang w:val="fr-FR"/>
              </w:rPr>
            </w:pPr>
            <w:r w:rsidRPr="009D7561">
              <w:rPr>
                <w:lang w:val="fr-FR"/>
              </w:rPr>
              <w:t>Dans les cas visés à l'alinéa 1</w:t>
            </w:r>
            <w:r w:rsidRPr="009D7561">
              <w:rPr>
                <w:vertAlign w:val="superscript"/>
                <w:lang w:val="fr-FR"/>
              </w:rPr>
              <w:t>er</w:t>
            </w:r>
            <w:r w:rsidRPr="009D7561">
              <w:rPr>
                <w:lang w:val="fr-FR"/>
              </w:rPr>
              <w:t>, pour chaque moyen de communication électronique dont les données de trafic sont repérées ou dont l'origine ou la destination de la communication électronique est localisée, le jour, l'heure, la durée et, si nécessaire, le lieu de la communication électronique sont indiqués et consignés dans un procès-verbal.</w:t>
            </w:r>
          </w:p>
        </w:tc>
        <w:tc>
          <w:tcPr>
            <w:tcW w:w="4508" w:type="dxa"/>
          </w:tcPr>
          <w:p w14:paraId="2C714ABC" w14:textId="77777777" w:rsidR="009D7561" w:rsidRPr="009D7561" w:rsidRDefault="009D7561" w:rsidP="009D7561">
            <w:pPr>
              <w:jc w:val="both"/>
              <w:rPr>
                <w:lang w:val="fr-FR"/>
              </w:rPr>
            </w:pPr>
            <w:r w:rsidRPr="009D7561">
              <w:rPr>
                <w:lang w:val="fr-FR"/>
              </w:rPr>
              <w:t>Dans les cas visés à l'alinéa 1er, pour chaque moyen de communication électronique dont les données de trafic sont repérées ou dont l'origine ou la destination de la communication électronique est localisée, le jour, l'heure, la durée et, si nécessaire, le lieu de la communication électronique sont indiqués et consignés dans un procès-verbal.</w:t>
            </w:r>
          </w:p>
        </w:tc>
      </w:tr>
      <w:tr w:rsidR="009D7561" w:rsidRPr="006015D9" w14:paraId="2C714AC0" w14:textId="77777777" w:rsidTr="009D7561">
        <w:tc>
          <w:tcPr>
            <w:tcW w:w="4508" w:type="dxa"/>
          </w:tcPr>
          <w:p w14:paraId="2C714ABE" w14:textId="77777777" w:rsidR="009D7561" w:rsidRPr="009D7561" w:rsidRDefault="009D7561">
            <w:pPr>
              <w:rPr>
                <w:lang w:val="fr-FR"/>
              </w:rPr>
            </w:pPr>
          </w:p>
        </w:tc>
        <w:tc>
          <w:tcPr>
            <w:tcW w:w="4508" w:type="dxa"/>
          </w:tcPr>
          <w:p w14:paraId="2C714ABF" w14:textId="77777777" w:rsidR="009D7561" w:rsidRPr="009D7561" w:rsidRDefault="009D7561">
            <w:pPr>
              <w:rPr>
                <w:lang w:val="fr-FR"/>
              </w:rPr>
            </w:pPr>
          </w:p>
        </w:tc>
      </w:tr>
      <w:tr w:rsidR="009D7561" w:rsidRPr="006015D9" w14:paraId="2C714AC3" w14:textId="77777777" w:rsidTr="009D7561">
        <w:tc>
          <w:tcPr>
            <w:tcW w:w="4508" w:type="dxa"/>
          </w:tcPr>
          <w:p w14:paraId="2C714AC1" w14:textId="77777777" w:rsidR="009D7561" w:rsidRPr="009D7561" w:rsidRDefault="009D7561" w:rsidP="009D7561">
            <w:pPr>
              <w:jc w:val="both"/>
              <w:rPr>
                <w:lang w:val="fr-FR"/>
              </w:rPr>
            </w:pPr>
            <w:r w:rsidRPr="009D7561">
              <w:rPr>
                <w:lang w:val="fr-FR"/>
              </w:rPr>
              <w:t>Le juge d'instruction indique les circonstances de fait de la cause qui justifient la mesure, son caractère proportionnel eu égard au respect de la vie privée et subsidiaire à tout autre devoir d'enquête, dans une ordonnance motivée.</w:t>
            </w:r>
          </w:p>
        </w:tc>
        <w:tc>
          <w:tcPr>
            <w:tcW w:w="4508" w:type="dxa"/>
          </w:tcPr>
          <w:p w14:paraId="2C714AC2" w14:textId="77777777" w:rsidR="009D7561" w:rsidRPr="009D7561" w:rsidRDefault="009D7561">
            <w:pPr>
              <w:rPr>
                <w:lang w:val="fr-FR"/>
              </w:rPr>
            </w:pPr>
            <w:r w:rsidRPr="009D7561">
              <w:rPr>
                <w:lang w:val="fr-FR"/>
              </w:rPr>
              <w:t>Le juge d'instruction indique les circonstances de fait de la cause qui justifient la mesure, son caractère proportionnel eu égard au respect de la vie privée et subsidiaire à tout autre devoir d'enquête, dans une ordonnance motivée.</w:t>
            </w:r>
          </w:p>
        </w:tc>
      </w:tr>
      <w:tr w:rsidR="009D7561" w:rsidRPr="006015D9" w14:paraId="2C714AC6" w14:textId="77777777" w:rsidTr="009D7561">
        <w:tc>
          <w:tcPr>
            <w:tcW w:w="4508" w:type="dxa"/>
          </w:tcPr>
          <w:p w14:paraId="2C714AC4" w14:textId="77777777" w:rsidR="009D7561" w:rsidRPr="009D7561" w:rsidRDefault="009D7561">
            <w:pPr>
              <w:rPr>
                <w:lang w:val="fr-FR"/>
              </w:rPr>
            </w:pPr>
          </w:p>
        </w:tc>
        <w:tc>
          <w:tcPr>
            <w:tcW w:w="4508" w:type="dxa"/>
          </w:tcPr>
          <w:p w14:paraId="2C714AC5" w14:textId="77777777" w:rsidR="009D7561" w:rsidRPr="009D7561" w:rsidRDefault="009D7561">
            <w:pPr>
              <w:rPr>
                <w:lang w:val="fr-FR"/>
              </w:rPr>
            </w:pPr>
          </w:p>
        </w:tc>
      </w:tr>
      <w:tr w:rsidR="009D7561" w:rsidRPr="006015D9" w14:paraId="2C714AC9" w14:textId="77777777" w:rsidTr="009D7561">
        <w:tc>
          <w:tcPr>
            <w:tcW w:w="4508" w:type="dxa"/>
          </w:tcPr>
          <w:p w14:paraId="2C714AC7" w14:textId="77777777" w:rsidR="009D7561" w:rsidRPr="009D7561" w:rsidRDefault="009D7561" w:rsidP="009D7561">
            <w:pPr>
              <w:jc w:val="both"/>
              <w:rPr>
                <w:lang w:val="fr-FR"/>
              </w:rPr>
            </w:pPr>
            <w:r w:rsidRPr="009D7561">
              <w:rPr>
                <w:lang w:val="fr-FR"/>
              </w:rPr>
              <w:t xml:space="preserve">Il précise également la durée durant laquelle la mesure pourra s'appliquer pour le futur, cette durée ne pouvant excéder deux mois à dater de l'ordonnance, sans préjudice de renouvellement et, le cas échéant, la période pour le passé sur laquelle l'ordonnance s'étend </w:t>
            </w:r>
            <w:r w:rsidRPr="009D7561">
              <w:rPr>
                <w:highlight w:val="yellow"/>
                <w:lang w:val="fr-FR"/>
              </w:rPr>
              <w:t>conformément au paragraphe 2</w:t>
            </w:r>
            <w:r w:rsidRPr="009D7561">
              <w:rPr>
                <w:lang w:val="fr-FR"/>
              </w:rPr>
              <w:t>.</w:t>
            </w:r>
          </w:p>
        </w:tc>
        <w:tc>
          <w:tcPr>
            <w:tcW w:w="4508" w:type="dxa"/>
          </w:tcPr>
          <w:p w14:paraId="2C714AC8" w14:textId="77777777" w:rsidR="009D7561" w:rsidRPr="009D7561" w:rsidRDefault="009D7561" w:rsidP="009D7561">
            <w:pPr>
              <w:jc w:val="both"/>
              <w:rPr>
                <w:lang w:val="fr-FR"/>
              </w:rPr>
            </w:pPr>
            <w:r w:rsidRPr="009D7561">
              <w:rPr>
                <w:lang w:val="fr-FR"/>
              </w:rPr>
              <w:t>Il précise également la durée durant laquelle la mesure pourra s'appliquer pour le futur, cette durée ne pouvant excéder deux mois à dater de l'ordonnance, sans préjudice de renouvellement et, le cas échéant, la période pour le passé sur laquelle l'ordonnance s'ét</w:t>
            </w:r>
            <w:r>
              <w:rPr>
                <w:lang w:val="fr-FR"/>
              </w:rPr>
              <w:t>end</w:t>
            </w:r>
            <w:r w:rsidRPr="009D7561">
              <w:rPr>
                <w:lang w:val="fr-FR"/>
              </w:rPr>
              <w:t>.</w:t>
            </w:r>
          </w:p>
        </w:tc>
      </w:tr>
      <w:tr w:rsidR="009D7561" w:rsidRPr="006015D9" w14:paraId="2C714ACC" w14:textId="77777777" w:rsidTr="009D7561">
        <w:tc>
          <w:tcPr>
            <w:tcW w:w="4508" w:type="dxa"/>
          </w:tcPr>
          <w:p w14:paraId="2C714ACA" w14:textId="77777777" w:rsidR="009D7561" w:rsidRPr="009D7561" w:rsidRDefault="009D7561">
            <w:pPr>
              <w:rPr>
                <w:lang w:val="fr-FR"/>
              </w:rPr>
            </w:pPr>
          </w:p>
        </w:tc>
        <w:tc>
          <w:tcPr>
            <w:tcW w:w="4508" w:type="dxa"/>
          </w:tcPr>
          <w:p w14:paraId="2C714ACB" w14:textId="77777777" w:rsidR="009D7561" w:rsidRPr="009D7561" w:rsidRDefault="009D7561">
            <w:pPr>
              <w:rPr>
                <w:lang w:val="fr-FR"/>
              </w:rPr>
            </w:pPr>
          </w:p>
        </w:tc>
      </w:tr>
      <w:tr w:rsidR="009D7561" w:rsidRPr="006015D9" w14:paraId="2C714ACF" w14:textId="77777777" w:rsidTr="009D7561">
        <w:tc>
          <w:tcPr>
            <w:tcW w:w="4508" w:type="dxa"/>
          </w:tcPr>
          <w:p w14:paraId="2C714ACD" w14:textId="77777777" w:rsidR="009D7561" w:rsidRPr="009D7561" w:rsidRDefault="009D7561" w:rsidP="009D7561">
            <w:pPr>
              <w:jc w:val="both"/>
              <w:rPr>
                <w:lang w:val="fr-FR"/>
              </w:rPr>
            </w:pPr>
            <w:r w:rsidRPr="009D7561">
              <w:rPr>
                <w:lang w:val="fr-FR"/>
              </w:rPr>
              <w:t>En cas de flagrant délit, le procureur du Roi peut ordonner la mesure pour les infractions visées à l'article 90ter, §§ 2, 3 et 4. Dans ce cas, la mesure doit être confirmée dans les vingt-quatre heures par le juge d'instruction.</w:t>
            </w:r>
          </w:p>
        </w:tc>
        <w:tc>
          <w:tcPr>
            <w:tcW w:w="4508" w:type="dxa"/>
          </w:tcPr>
          <w:p w14:paraId="2C714ACE" w14:textId="77777777" w:rsidR="009D7561" w:rsidRPr="009D7561" w:rsidRDefault="009D7561" w:rsidP="009D7561">
            <w:pPr>
              <w:jc w:val="both"/>
              <w:rPr>
                <w:lang w:val="fr-FR"/>
              </w:rPr>
            </w:pPr>
            <w:r w:rsidRPr="009D7561">
              <w:rPr>
                <w:lang w:val="fr-FR"/>
              </w:rPr>
              <w:t>En cas de flagrant délit, le procureur du Roi peut ordonner la mesure pour les infractions visées à l'article 90ter, §§ 2, 3 et 4. Dans ce cas, la mesure doit être confirmée dans les vingt-quatre heures par le juge d'instruction.</w:t>
            </w:r>
          </w:p>
        </w:tc>
      </w:tr>
      <w:tr w:rsidR="009D7561" w:rsidRPr="006015D9" w14:paraId="2C714AD2" w14:textId="77777777" w:rsidTr="009D7561">
        <w:tc>
          <w:tcPr>
            <w:tcW w:w="4508" w:type="dxa"/>
          </w:tcPr>
          <w:p w14:paraId="2C714AD0" w14:textId="77777777" w:rsidR="009D7561" w:rsidRPr="009D7561" w:rsidRDefault="009D7561">
            <w:pPr>
              <w:rPr>
                <w:lang w:val="fr-FR"/>
              </w:rPr>
            </w:pPr>
          </w:p>
        </w:tc>
        <w:tc>
          <w:tcPr>
            <w:tcW w:w="4508" w:type="dxa"/>
          </w:tcPr>
          <w:p w14:paraId="2C714AD1" w14:textId="77777777" w:rsidR="009D7561" w:rsidRPr="009D7561" w:rsidRDefault="009D7561">
            <w:pPr>
              <w:rPr>
                <w:lang w:val="fr-FR"/>
              </w:rPr>
            </w:pPr>
          </w:p>
        </w:tc>
      </w:tr>
      <w:tr w:rsidR="009D7561" w:rsidRPr="006015D9" w14:paraId="2C714AD5" w14:textId="77777777" w:rsidTr="009D7561">
        <w:tc>
          <w:tcPr>
            <w:tcW w:w="4508" w:type="dxa"/>
          </w:tcPr>
          <w:p w14:paraId="2C714AD3" w14:textId="77777777" w:rsidR="009D7561" w:rsidRPr="009D7561" w:rsidRDefault="009D7561" w:rsidP="009D7561">
            <w:pPr>
              <w:jc w:val="both"/>
              <w:rPr>
                <w:lang w:val="fr-FR"/>
              </w:rPr>
            </w:pPr>
            <w:r w:rsidRPr="009D7561">
              <w:rPr>
                <w:lang w:val="fr-FR"/>
              </w:rPr>
              <w:t>S'il s'agit toutefois de l'infraction visée à l'article 137, 347bis, 434 ou 470 du Code pénal, à l'exception de l'infraction visée à l'article 137, § 3, 6°, du même Code, le procureur du Roi peut ordonner la mesure tant que la situation de flagrant délit perdure, sans qu'une confirmation par le juge d'instruction ne soit nécessaire.</w:t>
            </w:r>
          </w:p>
        </w:tc>
        <w:tc>
          <w:tcPr>
            <w:tcW w:w="4508" w:type="dxa"/>
          </w:tcPr>
          <w:p w14:paraId="2C714AD4" w14:textId="77777777" w:rsidR="009D7561" w:rsidRPr="009D7561" w:rsidRDefault="009D7561" w:rsidP="009D7561">
            <w:pPr>
              <w:jc w:val="both"/>
              <w:rPr>
                <w:lang w:val="fr-FR"/>
              </w:rPr>
            </w:pPr>
            <w:r w:rsidRPr="009D7561">
              <w:rPr>
                <w:lang w:val="fr-FR"/>
              </w:rPr>
              <w:t>S'il s'agit toutefois de l'infraction visée à l'article 137, 347bis, 434 ou 470 du Code pénal, à l'exception de l'infraction visée à l'article 137, § 3, 6°, du même Code, le procureur du Roi peut ordonner la mesure tant que la situation de flagrant délit perdure, sans qu'une confirmation par le juge d'instruction ne soit nécessaire.</w:t>
            </w:r>
          </w:p>
        </w:tc>
      </w:tr>
      <w:tr w:rsidR="009D7561" w:rsidRPr="006015D9" w14:paraId="2C714AD8" w14:textId="77777777" w:rsidTr="009D7561">
        <w:tc>
          <w:tcPr>
            <w:tcW w:w="4508" w:type="dxa"/>
          </w:tcPr>
          <w:p w14:paraId="2C714AD6" w14:textId="77777777" w:rsidR="009D7561" w:rsidRPr="009D7561" w:rsidRDefault="009D7561">
            <w:pPr>
              <w:rPr>
                <w:lang w:val="fr-FR"/>
              </w:rPr>
            </w:pPr>
          </w:p>
        </w:tc>
        <w:tc>
          <w:tcPr>
            <w:tcW w:w="4508" w:type="dxa"/>
          </w:tcPr>
          <w:p w14:paraId="2C714AD7" w14:textId="77777777" w:rsidR="009D7561" w:rsidRPr="009D7561" w:rsidRDefault="009D7561">
            <w:pPr>
              <w:rPr>
                <w:lang w:val="fr-FR"/>
              </w:rPr>
            </w:pPr>
          </w:p>
        </w:tc>
      </w:tr>
      <w:tr w:rsidR="009D7561" w:rsidRPr="006015D9" w14:paraId="2C714ADB" w14:textId="77777777" w:rsidTr="009D7561">
        <w:tc>
          <w:tcPr>
            <w:tcW w:w="4508" w:type="dxa"/>
          </w:tcPr>
          <w:p w14:paraId="2C714AD9" w14:textId="77777777" w:rsidR="009D7561" w:rsidRPr="009D7561" w:rsidRDefault="009D7561" w:rsidP="009D7561">
            <w:pPr>
              <w:jc w:val="both"/>
              <w:rPr>
                <w:lang w:val="fr-FR"/>
              </w:rPr>
            </w:pPr>
            <w:r w:rsidRPr="009D7561">
              <w:rPr>
                <w:lang w:val="fr-FR"/>
              </w:rPr>
              <w:t>S'il s'agit de l'infraction visée à l'article 137 du Code pénal, à l'exception de l'infraction visée à l'article 137, § 3, 6°, du même Code, le procureur du Roi peut en outre ordonner la mesure dans les septante-deux heures suivant la découverte de cette infraction, sans qu'une confirmation par le juge d'instruction soit nécessaire.</w:t>
            </w:r>
          </w:p>
        </w:tc>
        <w:tc>
          <w:tcPr>
            <w:tcW w:w="4508" w:type="dxa"/>
          </w:tcPr>
          <w:p w14:paraId="2C714ADA" w14:textId="77777777" w:rsidR="009D7561" w:rsidRPr="009D7561" w:rsidRDefault="009D7561" w:rsidP="009D7561">
            <w:pPr>
              <w:jc w:val="both"/>
              <w:rPr>
                <w:lang w:val="fr-FR"/>
              </w:rPr>
            </w:pPr>
            <w:r w:rsidRPr="009D7561">
              <w:rPr>
                <w:lang w:val="fr-FR"/>
              </w:rPr>
              <w:t>S'il s'agit de l'infraction visée à l'article 137 du Code pénal, à l'exception de l'infraction visée à l'article 137, § 3, 6°, du même Code, le procureur du Roi peut en outre ordonner la mesure dans les septante-deux heures suivant la découverte de cette infraction, sans qu'une confirmation par le juge d'instruction soit nécessaire.</w:t>
            </w:r>
          </w:p>
        </w:tc>
      </w:tr>
      <w:tr w:rsidR="009D7561" w:rsidRPr="006015D9" w14:paraId="2C714ADE" w14:textId="77777777" w:rsidTr="009D7561">
        <w:tc>
          <w:tcPr>
            <w:tcW w:w="4508" w:type="dxa"/>
          </w:tcPr>
          <w:p w14:paraId="2C714ADC" w14:textId="77777777" w:rsidR="009D7561" w:rsidRPr="009D7561" w:rsidRDefault="009D7561">
            <w:pPr>
              <w:rPr>
                <w:lang w:val="fr-FR"/>
              </w:rPr>
            </w:pPr>
          </w:p>
        </w:tc>
        <w:tc>
          <w:tcPr>
            <w:tcW w:w="4508" w:type="dxa"/>
          </w:tcPr>
          <w:p w14:paraId="2C714ADD" w14:textId="77777777" w:rsidR="009D7561" w:rsidRPr="009D7561" w:rsidRDefault="009D7561">
            <w:pPr>
              <w:rPr>
                <w:lang w:val="fr-FR"/>
              </w:rPr>
            </w:pPr>
          </w:p>
        </w:tc>
      </w:tr>
      <w:tr w:rsidR="009D7561" w:rsidRPr="006015D9" w14:paraId="2C714AE1" w14:textId="77777777" w:rsidTr="009D7561">
        <w:tc>
          <w:tcPr>
            <w:tcW w:w="4508" w:type="dxa"/>
          </w:tcPr>
          <w:p w14:paraId="2C714ADF" w14:textId="77777777" w:rsidR="009D7561" w:rsidRPr="009D7561" w:rsidRDefault="009D7561" w:rsidP="009D7561">
            <w:pPr>
              <w:jc w:val="both"/>
              <w:rPr>
                <w:lang w:val="fr-FR"/>
              </w:rPr>
            </w:pPr>
            <w:r w:rsidRPr="009D7561">
              <w:rPr>
                <w:lang w:val="fr-FR"/>
              </w:rPr>
              <w:t>Toutefois, le procureur du Roi peut ordonner la mesure si le plaignant le sollicite, lorsque cette mesure s'avère indispensable à l'établissement d'une infraction visée à l'article 145, § 3 et § 3bis de la loi du 13 juin 2005 relative aux communications électroniques.</w:t>
            </w:r>
          </w:p>
        </w:tc>
        <w:tc>
          <w:tcPr>
            <w:tcW w:w="4508" w:type="dxa"/>
          </w:tcPr>
          <w:p w14:paraId="2C714AE0" w14:textId="77777777" w:rsidR="009D7561" w:rsidRPr="009D7561" w:rsidRDefault="009D7561" w:rsidP="009D7561">
            <w:pPr>
              <w:jc w:val="both"/>
              <w:rPr>
                <w:lang w:val="fr-FR"/>
              </w:rPr>
            </w:pPr>
            <w:r w:rsidRPr="009D7561">
              <w:rPr>
                <w:lang w:val="fr-FR"/>
              </w:rPr>
              <w:t>Toutefois, le procureur du Roi peut ordonner la mesure si le plaignant le sollicite, lorsque cette mesure s'avère indispensable à l'établissement d'une infraction visée à l'article 145, § 3 et § 3bis de la loi du 13 juin 2005 relative aux communications électroniques.</w:t>
            </w:r>
          </w:p>
        </w:tc>
      </w:tr>
      <w:tr w:rsidR="009D7561" w:rsidRPr="006015D9" w14:paraId="2C714AE4" w14:textId="77777777" w:rsidTr="009D7561">
        <w:tc>
          <w:tcPr>
            <w:tcW w:w="4508" w:type="dxa"/>
          </w:tcPr>
          <w:p w14:paraId="2C714AE2" w14:textId="77777777" w:rsidR="009D7561" w:rsidRPr="009D7561" w:rsidRDefault="009D7561">
            <w:pPr>
              <w:rPr>
                <w:lang w:val="fr-FR"/>
              </w:rPr>
            </w:pPr>
          </w:p>
        </w:tc>
        <w:tc>
          <w:tcPr>
            <w:tcW w:w="4508" w:type="dxa"/>
          </w:tcPr>
          <w:p w14:paraId="2C714AE3" w14:textId="77777777" w:rsidR="009D7561" w:rsidRPr="009D7561" w:rsidRDefault="009D7561">
            <w:pPr>
              <w:rPr>
                <w:lang w:val="fr-FR"/>
              </w:rPr>
            </w:pPr>
          </w:p>
        </w:tc>
      </w:tr>
      <w:tr w:rsidR="009D7561" w:rsidRPr="006015D9" w14:paraId="2C714AE7" w14:textId="77777777" w:rsidTr="009D7561">
        <w:tc>
          <w:tcPr>
            <w:tcW w:w="4508" w:type="dxa"/>
          </w:tcPr>
          <w:p w14:paraId="2C714AE5" w14:textId="77777777" w:rsidR="009D7561" w:rsidRPr="009D7561" w:rsidRDefault="009D7561" w:rsidP="009D7561">
            <w:pPr>
              <w:jc w:val="both"/>
              <w:rPr>
                <w:lang w:val="fr-FR"/>
              </w:rPr>
            </w:pPr>
            <w:r w:rsidRPr="009D7561">
              <w:rPr>
                <w:lang w:val="fr-FR"/>
              </w:rPr>
              <w:t>En cas d'urgence, la mesure peut être ordonnée verbalement. Elle doit être confirmée dans les plus brefs délais dans la forme prévue aux alinéas 4 et</w:t>
            </w:r>
            <w:r>
              <w:rPr>
                <w:lang w:val="fr-FR"/>
              </w:rPr>
              <w:t xml:space="preserve"> 5.</w:t>
            </w:r>
          </w:p>
        </w:tc>
        <w:tc>
          <w:tcPr>
            <w:tcW w:w="4508" w:type="dxa"/>
          </w:tcPr>
          <w:p w14:paraId="2C714AE6" w14:textId="77777777" w:rsidR="009D7561" w:rsidRPr="009D7561" w:rsidRDefault="009D7561" w:rsidP="009D7561">
            <w:pPr>
              <w:jc w:val="both"/>
              <w:rPr>
                <w:lang w:val="fr-FR"/>
              </w:rPr>
            </w:pPr>
            <w:r w:rsidRPr="009D7561">
              <w:rPr>
                <w:lang w:val="fr-FR"/>
              </w:rPr>
              <w:t>En cas d'urgence, la mesure peut être ordonnée verbalement. Elle doit être confirmée dans les plus brefs délais dans la fo</w:t>
            </w:r>
            <w:r>
              <w:rPr>
                <w:lang w:val="fr-FR"/>
              </w:rPr>
              <w:t>rme prévue aux alinéas 4 et 5.</w:t>
            </w:r>
          </w:p>
        </w:tc>
      </w:tr>
      <w:tr w:rsidR="009D7561" w:rsidRPr="006015D9" w14:paraId="2C714AEA" w14:textId="77777777" w:rsidTr="009D7561">
        <w:tc>
          <w:tcPr>
            <w:tcW w:w="4508" w:type="dxa"/>
          </w:tcPr>
          <w:p w14:paraId="2C714AE8" w14:textId="77777777" w:rsidR="009D7561" w:rsidRPr="009D7561" w:rsidRDefault="009D7561">
            <w:pPr>
              <w:rPr>
                <w:lang w:val="fr-FR"/>
              </w:rPr>
            </w:pPr>
          </w:p>
        </w:tc>
        <w:tc>
          <w:tcPr>
            <w:tcW w:w="4508" w:type="dxa"/>
          </w:tcPr>
          <w:p w14:paraId="2C714AE9" w14:textId="77777777" w:rsidR="009D7561" w:rsidRPr="009D7561" w:rsidRDefault="009D7561">
            <w:pPr>
              <w:rPr>
                <w:lang w:val="fr-FR"/>
              </w:rPr>
            </w:pPr>
          </w:p>
        </w:tc>
      </w:tr>
      <w:tr w:rsidR="009D7561" w:rsidRPr="009D7561" w14:paraId="2C714AED" w14:textId="77777777" w:rsidTr="009D7561">
        <w:tc>
          <w:tcPr>
            <w:tcW w:w="4508" w:type="dxa"/>
          </w:tcPr>
          <w:p w14:paraId="2C714AEB" w14:textId="77777777" w:rsidR="009D7561" w:rsidRPr="009D7561" w:rsidRDefault="009D7561">
            <w:pPr>
              <w:rPr>
                <w:lang w:val="fr-FR"/>
              </w:rPr>
            </w:pPr>
            <w:r>
              <w:rPr>
                <w:lang w:val="fr-FR"/>
              </w:rPr>
              <w:t>§ 2. (annulé par la CC)</w:t>
            </w:r>
          </w:p>
        </w:tc>
        <w:tc>
          <w:tcPr>
            <w:tcW w:w="4508" w:type="dxa"/>
          </w:tcPr>
          <w:p w14:paraId="2C714AEC" w14:textId="77777777" w:rsidR="009D7561" w:rsidRPr="009D7561" w:rsidRDefault="009D7561">
            <w:pPr>
              <w:rPr>
                <w:lang w:val="fr-FR"/>
              </w:rPr>
            </w:pPr>
            <w:r>
              <w:rPr>
                <w:lang w:val="fr-FR"/>
              </w:rPr>
              <w:t>§ 2.</w:t>
            </w:r>
          </w:p>
        </w:tc>
      </w:tr>
      <w:tr w:rsidR="009D7561" w:rsidRPr="009D7561" w14:paraId="2C714AF0" w14:textId="77777777" w:rsidTr="009D7561">
        <w:tc>
          <w:tcPr>
            <w:tcW w:w="4508" w:type="dxa"/>
          </w:tcPr>
          <w:p w14:paraId="2C714AEE" w14:textId="77777777" w:rsidR="009D7561" w:rsidRPr="009D7561" w:rsidRDefault="009D7561">
            <w:pPr>
              <w:rPr>
                <w:lang w:val="fr-FR"/>
              </w:rPr>
            </w:pPr>
          </w:p>
        </w:tc>
        <w:tc>
          <w:tcPr>
            <w:tcW w:w="4508" w:type="dxa"/>
          </w:tcPr>
          <w:p w14:paraId="2C714AEF" w14:textId="77777777" w:rsidR="009D7561" w:rsidRPr="009D7561" w:rsidRDefault="009D7561">
            <w:pPr>
              <w:rPr>
                <w:lang w:val="fr-FR"/>
              </w:rPr>
            </w:pPr>
          </w:p>
        </w:tc>
      </w:tr>
      <w:tr w:rsidR="009D7561" w:rsidRPr="006015D9" w14:paraId="2C714AF3" w14:textId="77777777" w:rsidTr="009D7561">
        <w:tc>
          <w:tcPr>
            <w:tcW w:w="4508" w:type="dxa"/>
          </w:tcPr>
          <w:p w14:paraId="2C714AF1" w14:textId="77777777" w:rsidR="009D7561" w:rsidRPr="009D7561" w:rsidRDefault="009D7561">
            <w:pPr>
              <w:rPr>
                <w:lang w:val="fr-FR"/>
              </w:rPr>
            </w:pPr>
            <w:r>
              <w:rPr>
                <w:lang w:val="fr-FR"/>
              </w:rPr>
              <w:lastRenderedPageBreak/>
              <w:t>§ 3. (annulé par la CC)</w:t>
            </w:r>
          </w:p>
        </w:tc>
        <w:tc>
          <w:tcPr>
            <w:tcW w:w="4508" w:type="dxa"/>
          </w:tcPr>
          <w:p w14:paraId="2C714AF2" w14:textId="77777777" w:rsidR="009D7561" w:rsidRPr="009D7561" w:rsidRDefault="009D7561" w:rsidP="009D7561">
            <w:pPr>
              <w:jc w:val="both"/>
              <w:rPr>
                <w:lang w:val="fr-FR"/>
              </w:rPr>
            </w:pPr>
            <w:r>
              <w:rPr>
                <w:lang w:val="fr-FR"/>
              </w:rPr>
              <w:t>§ 3.</w:t>
            </w:r>
            <w:r w:rsidRPr="009D7561">
              <w:rPr>
                <w:lang w:val="fr-FR"/>
              </w:rPr>
              <w:t xml:space="preserve"> </w:t>
            </w:r>
            <w:r w:rsidRPr="009D7561">
              <w:rPr>
                <w:b/>
                <w:lang w:val="fr-FR"/>
              </w:rPr>
              <w:t>La mesure ne peut porter sur les moyens de communication électronique d'un avocat ou d'un médecin que si celui-ci est lui-même soupçonné d'avoir commis une infraction visée au paragraphe 1er ou d'y avoir participé, ou si des faits précis laissent présumer que des tiers soupçonnés d'avoir commis une infraction visée au paragraphe 1</w:t>
            </w:r>
            <w:r w:rsidRPr="009D7561">
              <w:rPr>
                <w:b/>
                <w:vertAlign w:val="superscript"/>
                <w:lang w:val="fr-FR"/>
              </w:rPr>
              <w:t>er</w:t>
            </w:r>
            <w:r w:rsidRPr="009D7561">
              <w:rPr>
                <w:b/>
                <w:lang w:val="fr-FR"/>
              </w:rPr>
              <w:t>, utilisent ses moyens de communication électronique.</w:t>
            </w:r>
          </w:p>
        </w:tc>
      </w:tr>
      <w:tr w:rsidR="009D7561" w:rsidRPr="006015D9" w14:paraId="2C714AF6" w14:textId="77777777" w:rsidTr="009D7561">
        <w:tc>
          <w:tcPr>
            <w:tcW w:w="4508" w:type="dxa"/>
          </w:tcPr>
          <w:p w14:paraId="2C714AF4" w14:textId="77777777" w:rsidR="009D7561" w:rsidRPr="009D7561" w:rsidRDefault="009D7561">
            <w:pPr>
              <w:rPr>
                <w:lang w:val="fr-FR"/>
              </w:rPr>
            </w:pPr>
          </w:p>
        </w:tc>
        <w:tc>
          <w:tcPr>
            <w:tcW w:w="4508" w:type="dxa"/>
          </w:tcPr>
          <w:p w14:paraId="2C714AF5" w14:textId="77777777" w:rsidR="009D7561" w:rsidRPr="009D7561" w:rsidRDefault="009D7561">
            <w:pPr>
              <w:rPr>
                <w:lang w:val="fr-FR"/>
              </w:rPr>
            </w:pPr>
          </w:p>
        </w:tc>
      </w:tr>
      <w:tr w:rsidR="009D7561" w:rsidRPr="006015D9" w14:paraId="2C714AF9" w14:textId="77777777" w:rsidTr="009D7561">
        <w:tc>
          <w:tcPr>
            <w:tcW w:w="4508" w:type="dxa"/>
          </w:tcPr>
          <w:p w14:paraId="2C714AF7" w14:textId="77777777" w:rsidR="009D7561" w:rsidRPr="009D7561" w:rsidRDefault="009D7561">
            <w:pPr>
              <w:rPr>
                <w:lang w:val="fr-FR"/>
              </w:rPr>
            </w:pPr>
          </w:p>
        </w:tc>
        <w:tc>
          <w:tcPr>
            <w:tcW w:w="4508" w:type="dxa"/>
          </w:tcPr>
          <w:p w14:paraId="2C714AF8" w14:textId="77777777" w:rsidR="009D7561" w:rsidRPr="009D7561" w:rsidRDefault="009D7561" w:rsidP="009D7561">
            <w:pPr>
              <w:jc w:val="both"/>
              <w:rPr>
                <w:b/>
                <w:lang w:val="fr-FR"/>
              </w:rPr>
            </w:pPr>
            <w:r w:rsidRPr="009D7561">
              <w:rPr>
                <w:b/>
                <w:lang w:val="fr-FR"/>
              </w:rPr>
              <w:t>La mesure ne peut être exécutée sans que le bâtonnier ou le représentant de l'ordre provincial des médecins, selon le cas, en soit averti. Ces mêmes personnes seront informées par le juge d'instruction des éléments qu'il estime relever du secret professionnel. Ces éléments ne sont pas consignés au procès-verbal. Ces personnes sont tenues au secret. Toute violation du secret est punie conformément à l'article 458 du Code pénal.</w:t>
            </w:r>
          </w:p>
        </w:tc>
      </w:tr>
      <w:tr w:rsidR="009D7561" w:rsidRPr="006015D9" w14:paraId="2C714AFC" w14:textId="77777777" w:rsidTr="009D7561">
        <w:tc>
          <w:tcPr>
            <w:tcW w:w="4508" w:type="dxa"/>
          </w:tcPr>
          <w:p w14:paraId="2C714AFA" w14:textId="77777777" w:rsidR="009D7561" w:rsidRPr="009D7561" w:rsidRDefault="009D7561">
            <w:pPr>
              <w:rPr>
                <w:lang w:val="fr-FR"/>
              </w:rPr>
            </w:pPr>
          </w:p>
        </w:tc>
        <w:tc>
          <w:tcPr>
            <w:tcW w:w="4508" w:type="dxa"/>
          </w:tcPr>
          <w:p w14:paraId="2C714AFB" w14:textId="77777777" w:rsidR="009D7561" w:rsidRPr="009D7561" w:rsidRDefault="009D7561">
            <w:pPr>
              <w:rPr>
                <w:lang w:val="fr-FR"/>
              </w:rPr>
            </w:pPr>
          </w:p>
        </w:tc>
      </w:tr>
      <w:tr w:rsidR="009D7561" w:rsidRPr="006015D9" w14:paraId="2C714AFF" w14:textId="77777777" w:rsidTr="009D7561">
        <w:tc>
          <w:tcPr>
            <w:tcW w:w="4508" w:type="dxa"/>
          </w:tcPr>
          <w:p w14:paraId="2C714AFD" w14:textId="77777777" w:rsidR="009D7561" w:rsidRPr="009D7561" w:rsidRDefault="009D7561" w:rsidP="009D7561">
            <w:pPr>
              <w:jc w:val="both"/>
              <w:rPr>
                <w:lang w:val="fr-FR"/>
              </w:rPr>
            </w:pPr>
            <w:r>
              <w:rPr>
                <w:lang w:val="fr-FR"/>
              </w:rPr>
              <w:t>§ 4.</w:t>
            </w:r>
            <w:r w:rsidRPr="009D7561">
              <w:rPr>
                <w:lang w:val="fr-FR"/>
              </w:rPr>
              <w:t>Les acteurs visés au § 1</w:t>
            </w:r>
            <w:r w:rsidRPr="009D7561">
              <w:rPr>
                <w:vertAlign w:val="superscript"/>
                <w:lang w:val="fr-FR"/>
              </w:rPr>
              <w:t>er</w:t>
            </w:r>
            <w:r w:rsidRPr="009D7561">
              <w:rPr>
                <w:lang w:val="fr-FR"/>
              </w:rPr>
              <w:t>, alinéa 2, communiquent les informations demandées en temps réel ou, le cas échéant, au moment précisé dans la réquisition, selon les modalités fixées par le Roi, sur la proposition du ministre de la Justice et du ministre compéten</w:t>
            </w:r>
            <w:r>
              <w:rPr>
                <w:lang w:val="fr-FR"/>
              </w:rPr>
              <w:t>t pour les Télécommunications.</w:t>
            </w:r>
          </w:p>
        </w:tc>
        <w:tc>
          <w:tcPr>
            <w:tcW w:w="4508" w:type="dxa"/>
          </w:tcPr>
          <w:p w14:paraId="2C714AFE" w14:textId="77777777" w:rsidR="009D7561" w:rsidRPr="009D7561" w:rsidRDefault="009D7561" w:rsidP="009D7561">
            <w:pPr>
              <w:jc w:val="both"/>
              <w:rPr>
                <w:lang w:val="fr-FR"/>
              </w:rPr>
            </w:pPr>
            <w:r>
              <w:rPr>
                <w:lang w:val="fr-FR"/>
              </w:rPr>
              <w:t>§ 4.</w:t>
            </w:r>
            <w:r w:rsidRPr="009D7561">
              <w:rPr>
                <w:lang w:val="fr-FR"/>
              </w:rPr>
              <w:t>Les acteurs visés au § 1</w:t>
            </w:r>
            <w:r w:rsidRPr="009D7561">
              <w:rPr>
                <w:vertAlign w:val="superscript"/>
                <w:lang w:val="fr-FR"/>
              </w:rPr>
              <w:t>er</w:t>
            </w:r>
            <w:r w:rsidRPr="009D7561">
              <w:rPr>
                <w:lang w:val="fr-FR"/>
              </w:rPr>
              <w:t>, alinéa 2, communiquent les informations demandées en temps réel ou, le cas échéant, au moment précisé dans la réquisition, selon les modalités fixées par le Roi, sur la proposition du ministre de la Justice et du ministre compéten</w:t>
            </w:r>
            <w:r>
              <w:rPr>
                <w:lang w:val="fr-FR"/>
              </w:rPr>
              <w:t>t pour les Télécommunications.</w:t>
            </w:r>
          </w:p>
        </w:tc>
      </w:tr>
      <w:tr w:rsidR="009D7561" w:rsidRPr="006015D9" w14:paraId="2C714B02" w14:textId="77777777" w:rsidTr="009D7561">
        <w:tc>
          <w:tcPr>
            <w:tcW w:w="4508" w:type="dxa"/>
          </w:tcPr>
          <w:p w14:paraId="2C714B00" w14:textId="77777777" w:rsidR="009D7561" w:rsidRPr="009D7561" w:rsidRDefault="009D7561" w:rsidP="009D7561">
            <w:pPr>
              <w:jc w:val="both"/>
              <w:rPr>
                <w:lang w:val="fr-FR"/>
              </w:rPr>
            </w:pPr>
          </w:p>
        </w:tc>
        <w:tc>
          <w:tcPr>
            <w:tcW w:w="4508" w:type="dxa"/>
          </w:tcPr>
          <w:p w14:paraId="2C714B01" w14:textId="77777777" w:rsidR="009D7561" w:rsidRPr="009D7561" w:rsidRDefault="009D7561" w:rsidP="009D7561">
            <w:pPr>
              <w:jc w:val="both"/>
              <w:rPr>
                <w:lang w:val="fr-FR"/>
              </w:rPr>
            </w:pPr>
          </w:p>
        </w:tc>
      </w:tr>
      <w:tr w:rsidR="009D7561" w:rsidRPr="006015D9" w14:paraId="2C714B05" w14:textId="77777777" w:rsidTr="009D7561">
        <w:tc>
          <w:tcPr>
            <w:tcW w:w="4508" w:type="dxa"/>
          </w:tcPr>
          <w:p w14:paraId="2C714B03" w14:textId="77777777" w:rsidR="009D7561" w:rsidRPr="009D7561" w:rsidRDefault="009D7561" w:rsidP="009D7561">
            <w:pPr>
              <w:jc w:val="both"/>
              <w:rPr>
                <w:lang w:val="fr-FR"/>
              </w:rPr>
            </w:pPr>
            <w:r w:rsidRPr="009D7561">
              <w:rPr>
                <w:lang w:val="fr-FR"/>
              </w:rPr>
              <w:t>Toute personne qui, du chef de sa fonction, a connaissance de la mesure ou y prête son concours, est tenue de garder le secret. Toute violation du secret est punie conformément</w:t>
            </w:r>
            <w:r>
              <w:rPr>
                <w:lang w:val="fr-FR"/>
              </w:rPr>
              <w:t xml:space="preserve"> à l'article 458 du Code pénal.</w:t>
            </w:r>
          </w:p>
        </w:tc>
        <w:tc>
          <w:tcPr>
            <w:tcW w:w="4508" w:type="dxa"/>
          </w:tcPr>
          <w:p w14:paraId="2C714B04" w14:textId="77777777" w:rsidR="009D7561" w:rsidRPr="009D7561" w:rsidRDefault="009D7561" w:rsidP="009D7561">
            <w:pPr>
              <w:jc w:val="both"/>
              <w:rPr>
                <w:lang w:val="fr-FR"/>
              </w:rPr>
            </w:pPr>
            <w:r w:rsidRPr="009D7561">
              <w:rPr>
                <w:lang w:val="fr-FR"/>
              </w:rPr>
              <w:t>Toute personne qui, du chef de sa fonction, a connaissance de la mesure ou y prête son concours, est tenue de garder le secret. Toute violation du secret est punie conformément</w:t>
            </w:r>
            <w:r>
              <w:rPr>
                <w:lang w:val="fr-FR"/>
              </w:rPr>
              <w:t xml:space="preserve"> à l'article 458 du Code pénal.</w:t>
            </w:r>
          </w:p>
        </w:tc>
      </w:tr>
      <w:tr w:rsidR="009D7561" w:rsidRPr="006015D9" w14:paraId="2C714B08" w14:textId="77777777" w:rsidTr="009D7561">
        <w:tc>
          <w:tcPr>
            <w:tcW w:w="4508" w:type="dxa"/>
          </w:tcPr>
          <w:p w14:paraId="2C714B06" w14:textId="77777777" w:rsidR="009D7561" w:rsidRPr="009D7561" w:rsidRDefault="009D7561" w:rsidP="009D7561">
            <w:pPr>
              <w:jc w:val="both"/>
              <w:rPr>
                <w:lang w:val="fr-FR"/>
              </w:rPr>
            </w:pPr>
          </w:p>
        </w:tc>
        <w:tc>
          <w:tcPr>
            <w:tcW w:w="4508" w:type="dxa"/>
          </w:tcPr>
          <w:p w14:paraId="2C714B07" w14:textId="77777777" w:rsidR="009D7561" w:rsidRPr="009D7561" w:rsidRDefault="009D7561" w:rsidP="009D7561">
            <w:pPr>
              <w:jc w:val="both"/>
              <w:rPr>
                <w:lang w:val="fr-FR"/>
              </w:rPr>
            </w:pPr>
          </w:p>
        </w:tc>
      </w:tr>
      <w:tr w:rsidR="009D7561" w:rsidRPr="006015D9" w14:paraId="2C714B0B" w14:textId="77777777" w:rsidTr="009D7561">
        <w:tc>
          <w:tcPr>
            <w:tcW w:w="4508" w:type="dxa"/>
          </w:tcPr>
          <w:p w14:paraId="2C714B09" w14:textId="77777777" w:rsidR="009D7561" w:rsidRPr="009D7561" w:rsidRDefault="009D7561" w:rsidP="009D7561">
            <w:pPr>
              <w:jc w:val="both"/>
              <w:rPr>
                <w:lang w:val="fr-FR"/>
              </w:rPr>
            </w:pPr>
            <w:r w:rsidRPr="009D7561">
              <w:rPr>
                <w:lang w:val="fr-FR"/>
              </w:rPr>
              <w:t>Toute personne qui refuse de prêter son concours technique aux réquisitions visées au présent article, concours dont les modalités sont fixées par le Roi, sur la proposition du ministre de la Justice et du ministre compétent pour les Télécommunications, ou ne le prête pas en temps réel ou, le cas échéant, au moment précisé dans la réquisition, est punie d'une amende de vingt</w:t>
            </w:r>
            <w:r>
              <w:rPr>
                <w:lang w:val="fr-FR"/>
              </w:rPr>
              <w:t>-six euros à dix mille euros.]</w:t>
            </w:r>
          </w:p>
        </w:tc>
        <w:tc>
          <w:tcPr>
            <w:tcW w:w="4508" w:type="dxa"/>
          </w:tcPr>
          <w:p w14:paraId="2C714B0A" w14:textId="77777777" w:rsidR="009D7561" w:rsidRPr="009D7561" w:rsidRDefault="009D7561" w:rsidP="009D7561">
            <w:pPr>
              <w:jc w:val="both"/>
              <w:rPr>
                <w:lang w:val="fr-FR"/>
              </w:rPr>
            </w:pPr>
            <w:r w:rsidRPr="009D7561">
              <w:rPr>
                <w:lang w:val="fr-FR"/>
              </w:rPr>
              <w:t>Toute personne qui refuse de prêter son concours technique aux réquisitions visées au présent article, concours dont les modalités sont fixées par le Roi, sur la proposition du ministre de la Justice et du ministre compétent pour les Télécommunications, ou ne le prête pas en temps réel ou, le cas échéant, au moment précisé dans la réquisition, est punie d'une amende de vingt</w:t>
            </w:r>
            <w:r>
              <w:rPr>
                <w:lang w:val="fr-FR"/>
              </w:rPr>
              <w:t>-six euros à dix mille euros.]</w:t>
            </w:r>
          </w:p>
        </w:tc>
      </w:tr>
      <w:tr w:rsidR="009D7561" w:rsidRPr="006015D9" w14:paraId="2C714B0E" w14:textId="77777777" w:rsidTr="009D7561">
        <w:tc>
          <w:tcPr>
            <w:tcW w:w="4508" w:type="dxa"/>
          </w:tcPr>
          <w:p w14:paraId="2C714B0C" w14:textId="77777777" w:rsidR="009D7561" w:rsidRPr="009D7561" w:rsidRDefault="009D7561" w:rsidP="009D7561">
            <w:pPr>
              <w:rPr>
                <w:lang w:val="fr-FR"/>
              </w:rPr>
            </w:pPr>
          </w:p>
        </w:tc>
        <w:tc>
          <w:tcPr>
            <w:tcW w:w="4508" w:type="dxa"/>
          </w:tcPr>
          <w:p w14:paraId="2C714B0D" w14:textId="77777777" w:rsidR="009D7561" w:rsidRPr="009D7561" w:rsidRDefault="009D7561" w:rsidP="009D7561">
            <w:pPr>
              <w:rPr>
                <w:lang w:val="fr-FR"/>
              </w:rPr>
            </w:pPr>
          </w:p>
        </w:tc>
      </w:tr>
    </w:tbl>
    <w:p w14:paraId="2C714B0F" w14:textId="77777777" w:rsidR="00065A2C" w:rsidRPr="009D7561" w:rsidRDefault="00065A2C">
      <w:pPr>
        <w:rPr>
          <w:lang w:val="fr-FR"/>
        </w:rPr>
      </w:pPr>
    </w:p>
    <w:sectPr w:rsidR="00065A2C" w:rsidRPr="009D756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1E58" w14:textId="77777777" w:rsidR="006015D9" w:rsidRDefault="006015D9" w:rsidP="006015D9">
      <w:pPr>
        <w:spacing w:after="0" w:line="240" w:lineRule="auto"/>
      </w:pPr>
      <w:r>
        <w:separator/>
      </w:r>
    </w:p>
  </w:endnote>
  <w:endnote w:type="continuationSeparator" w:id="0">
    <w:p w14:paraId="13E1436C" w14:textId="77777777" w:rsidR="006015D9" w:rsidRDefault="006015D9" w:rsidP="0060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CDB7" w14:textId="77777777" w:rsidR="006015D9" w:rsidRDefault="006015D9" w:rsidP="006015D9">
      <w:pPr>
        <w:spacing w:after="0" w:line="240" w:lineRule="auto"/>
      </w:pPr>
      <w:r>
        <w:separator/>
      </w:r>
    </w:p>
  </w:footnote>
  <w:footnote w:type="continuationSeparator" w:id="0">
    <w:p w14:paraId="61DE1398" w14:textId="77777777" w:rsidR="006015D9" w:rsidRDefault="006015D9" w:rsidP="00601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D2B4" w14:textId="16648BB4" w:rsidR="006015D9" w:rsidRPr="006015D9" w:rsidRDefault="006015D9" w:rsidP="006015D9">
    <w:pPr>
      <w:pStyle w:val="Header"/>
      <w:ind w:left="3793" w:firstLine="3995"/>
      <w:rPr>
        <w:lang w:val="fr-BE"/>
      </w:rPr>
    </w:pPr>
    <w:r>
      <w:rPr>
        <w:lang w:val="fr-BE"/>
      </w:rPr>
      <w:t>7/05/2021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61"/>
    <w:rsid w:val="00065A2C"/>
    <w:rsid w:val="006015D9"/>
    <w:rsid w:val="009D75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4A99"/>
  <w15:chartTrackingRefBased/>
  <w15:docId w15:val="{3748F31D-3B3E-4E6F-815B-5F4C1323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5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15D9"/>
  </w:style>
  <w:style w:type="paragraph" w:styleId="Footer">
    <w:name w:val="footer"/>
    <w:basedOn w:val="Normal"/>
    <w:link w:val="FooterChar"/>
    <w:uiPriority w:val="99"/>
    <w:unhideWhenUsed/>
    <w:rsid w:val="006015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DS20-1372834777-972</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http://teamworkingspace.bipt.local/sites/dossiers2020/12/2020001255/_layouts/DocIdRedir.aspx?ID=DS20-1372834777-972</Url>
      <Description>DS20-1372834777-972</Description>
    </_dlc_DocIdUrl>
    <TaxCatchAll xmlns="2b4b6fc7-bde4-44a8-8bca-a78eb25a27e9">
      <Value>27</Value>
    </TaxCatchAll>
    <QuickPartDocumentId xmlns="2b4b6fc7-bde4-44a8-8bca-a78eb25a27e9">DS20-1372834777-972</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Props1.xml><?xml version="1.0" encoding="utf-8"?>
<ds:datastoreItem xmlns:ds="http://schemas.openxmlformats.org/officeDocument/2006/customXml" ds:itemID="{823CA81E-C1ED-4ACB-8F24-8E3347A26DB8}"/>
</file>

<file path=customXml/itemProps2.xml><?xml version="1.0" encoding="utf-8"?>
<ds:datastoreItem xmlns:ds="http://schemas.openxmlformats.org/officeDocument/2006/customXml" ds:itemID="{69B9286C-2A09-490F-A821-5104C2AD7D34}"/>
</file>

<file path=customXml/itemProps3.xml><?xml version="1.0" encoding="utf-8"?>
<ds:datastoreItem xmlns:ds="http://schemas.openxmlformats.org/officeDocument/2006/customXml" ds:itemID="{5EC5D53F-8133-46A5-AA0E-82D9ADCDE0CB}"/>
</file>

<file path=customXml/itemProps4.xml><?xml version="1.0" encoding="utf-8"?>
<ds:datastoreItem xmlns:ds="http://schemas.openxmlformats.org/officeDocument/2006/customXml" ds:itemID="{E317A0CB-AB80-4C62-86D3-084AFA6630FC}"/>
</file>

<file path=customXml/itemProps5.xml><?xml version="1.0" encoding="utf-8"?>
<ds:datastoreItem xmlns:ds="http://schemas.openxmlformats.org/officeDocument/2006/customXml" ds:itemID="{58B07146-5022-40A9-ACBF-E11C9A76EFDF}"/>
</file>

<file path=docProps/app.xml><?xml version="1.0" encoding="utf-8"?>
<Properties xmlns="http://schemas.openxmlformats.org/officeDocument/2006/extended-properties" xmlns:vt="http://schemas.openxmlformats.org/officeDocument/2006/docPropsVTypes">
  <Template>Normal</Template>
  <TotalTime>1</TotalTime>
  <Pages>3</Pages>
  <Words>1493</Words>
  <Characters>8513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Decruyenaere Frederik</dc:creator>
  <cp:keywords/>
  <dc:description/>
  <cp:lastModifiedBy>Dethy Pierre-Yves</cp:lastModifiedBy>
  <cp:revision>2</cp:revision>
  <dcterms:created xsi:type="dcterms:W3CDTF">2021-02-25T13:12:00Z</dcterms:created>
  <dcterms:modified xsi:type="dcterms:W3CDTF">2021-05-07T05:42:00Z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2b293a3f-6904-419b-a723-e4b8ae04c77d</vt:lpwstr>
  </property>
</Properties>
</file>